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32"/>
        <w:spacing w:before="185"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浙江省房屋建筑和市政基础设施施工和工程</w:t>
      </w:r>
    </w:p>
    <w:p>
      <w:pPr>
        <w:ind w:left="1888"/>
        <w:spacing w:before="82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总承包招标开标评标规则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732"/>
        <w:spacing w:before="114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第一部分</w:t>
      </w:r>
      <w:r>
        <w:rPr>
          <w:rFonts w:ascii="SimHei" w:hAnsi="SimHei" w:eastAsia="SimHei" w:cs="SimHei"/>
          <w:sz w:val="35"/>
          <w:szCs w:val="35"/>
          <w:spacing w:val="8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8"/>
        </w:rPr>
        <w:t>施工招标开评标规则</w:t>
      </w:r>
    </w:p>
    <w:p>
      <w:pPr>
        <w:ind w:left="656"/>
        <w:spacing w:before="26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一、开标程序</w:t>
      </w:r>
    </w:p>
    <w:p>
      <w:pPr>
        <w:ind w:left="643"/>
        <w:spacing w:before="280" w:line="223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一）开标时间和地点</w:t>
      </w:r>
    </w:p>
    <w:p>
      <w:pPr>
        <w:pStyle w:val="BodyText"/>
        <w:ind w:left="676"/>
        <w:spacing w:before="286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开标时间：</w:t>
      </w:r>
      <w:r>
        <w:rPr>
          <w:spacing w:val="-82"/>
        </w:rPr>
        <w:t xml:space="preserve"> </w:t>
      </w:r>
      <w:r>
        <w:rPr>
          <w:spacing w:val="1"/>
        </w:rPr>
        <w:t>同投标截止时间。</w:t>
      </w:r>
    </w:p>
    <w:p>
      <w:pPr>
        <w:pStyle w:val="BodyText"/>
        <w:ind w:right="2" w:firstLine="645"/>
        <w:spacing w:before="287" w:line="336" w:lineRule="auto"/>
        <w:rPr/>
      </w:pPr>
      <w:r>
        <w:rPr>
          <w:rFonts w:ascii="Times New Roman" w:hAnsi="Times New Roman" w:eastAsia="Times New Roman" w:cs="Times New Roman"/>
          <w:spacing w:val="-14"/>
        </w:rPr>
        <w:t>2.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4"/>
        </w:rPr>
        <w:t>本</w:t>
      </w:r>
      <w:r>
        <w:rPr>
          <w:spacing w:val="-50"/>
        </w:rPr>
        <w:t xml:space="preserve"> </w:t>
      </w:r>
      <w:r>
        <w:rPr>
          <w:spacing w:val="-14"/>
        </w:rPr>
        <w:t>项</w:t>
      </w:r>
      <w:r>
        <w:rPr>
          <w:spacing w:val="-14"/>
        </w:rPr>
        <w:t xml:space="preserve"> </w:t>
      </w:r>
      <w:r>
        <w:rPr>
          <w:spacing w:val="-14"/>
        </w:rPr>
        <w:t>目</w:t>
      </w:r>
      <w:r>
        <w:rPr>
          <w:spacing w:val="-53"/>
        </w:rPr>
        <w:t xml:space="preserve"> </w:t>
      </w:r>
      <w:r>
        <w:rPr>
          <w:spacing w:val="-14"/>
        </w:rPr>
        <w:t>采</w:t>
      </w:r>
      <w:r>
        <w:rPr>
          <w:spacing w:val="-54"/>
        </w:rPr>
        <w:t xml:space="preserve"> </w:t>
      </w:r>
      <w:r>
        <w:rPr>
          <w:spacing w:val="-14"/>
        </w:rPr>
        <w:t>用</w:t>
      </w:r>
      <w:r>
        <w:rPr>
          <w:spacing w:val="-14"/>
        </w:rPr>
        <w:t xml:space="preserve"> </w:t>
      </w:r>
      <w:r>
        <w:rPr>
          <w:spacing w:val="-14"/>
        </w:rPr>
        <w:t>网</w:t>
      </w:r>
      <w:r>
        <w:rPr>
          <w:spacing w:val="-46"/>
        </w:rPr>
        <w:t xml:space="preserve"> </w:t>
      </w:r>
      <w:r>
        <w:rPr>
          <w:spacing w:val="-14"/>
        </w:rPr>
        <w:t>上</w:t>
      </w:r>
      <w:r>
        <w:rPr>
          <w:spacing w:val="-44"/>
        </w:rPr>
        <w:t xml:space="preserve"> </w:t>
      </w:r>
      <w:r>
        <w:rPr>
          <w:spacing w:val="-14"/>
        </w:rPr>
        <w:t>远</w:t>
      </w:r>
      <w:r>
        <w:rPr>
          <w:spacing w:val="-49"/>
        </w:rPr>
        <w:t xml:space="preserve"> </w:t>
      </w:r>
      <w:r>
        <w:rPr>
          <w:spacing w:val="-14"/>
        </w:rPr>
        <w:t>程</w:t>
      </w:r>
      <w:r>
        <w:rPr>
          <w:spacing w:val="-46"/>
        </w:rPr>
        <w:t xml:space="preserve"> </w:t>
      </w:r>
      <w:r>
        <w:rPr>
          <w:spacing w:val="-14"/>
        </w:rPr>
        <w:t>开</w:t>
      </w:r>
      <w:r>
        <w:rPr>
          <w:spacing w:val="-57"/>
        </w:rPr>
        <w:t xml:space="preserve"> </w:t>
      </w:r>
      <w:r>
        <w:rPr>
          <w:spacing w:val="-14"/>
        </w:rPr>
        <w:t>标</w:t>
      </w:r>
      <w:r>
        <w:rPr>
          <w:spacing w:val="-48"/>
        </w:rPr>
        <w:t xml:space="preserve"> </w:t>
      </w:r>
      <w:r>
        <w:rPr>
          <w:spacing w:val="-14"/>
        </w:rPr>
        <w:t>方</w:t>
      </w:r>
      <w:r>
        <w:rPr>
          <w:spacing w:val="-32"/>
        </w:rPr>
        <w:t xml:space="preserve"> </w:t>
      </w:r>
      <w:r>
        <w:rPr>
          <w:spacing w:val="-14"/>
        </w:rPr>
        <w:t>式</w:t>
      </w:r>
      <w:r>
        <w:rPr>
          <w:spacing w:val="-65"/>
        </w:rPr>
        <w:t xml:space="preserve"> </w:t>
      </w:r>
      <w:r>
        <w:rPr>
          <w:spacing w:val="-14"/>
        </w:rPr>
        <w:t>，</w:t>
      </w:r>
      <w:r>
        <w:rPr>
          <w:spacing w:val="-14"/>
        </w:rPr>
        <w:t xml:space="preserve"> </w:t>
      </w:r>
      <w:r>
        <w:rPr>
          <w:spacing w:val="-14"/>
        </w:rPr>
        <w:t>开</w:t>
      </w:r>
      <w:r>
        <w:rPr>
          <w:spacing w:val="-59"/>
        </w:rPr>
        <w:t xml:space="preserve"> </w:t>
      </w:r>
      <w:r>
        <w:rPr>
          <w:spacing w:val="-14"/>
        </w:rPr>
        <w:t>标</w:t>
      </w:r>
      <w:r>
        <w:rPr>
          <w:spacing w:val="-19"/>
        </w:rPr>
        <w:t xml:space="preserve"> </w:t>
      </w:r>
      <w:r>
        <w:rPr>
          <w:spacing w:val="-14"/>
        </w:rPr>
        <w:t>网</w:t>
      </w:r>
      <w:r>
        <w:rPr>
          <w:spacing w:val="-46"/>
        </w:rPr>
        <w:t xml:space="preserve"> </w:t>
      </w:r>
      <w:r>
        <w:rPr>
          <w:spacing w:val="-14"/>
        </w:rPr>
        <w:t>址</w:t>
      </w:r>
      <w:r>
        <w:rPr>
          <w:spacing w:val="-46"/>
        </w:rPr>
        <w:t xml:space="preserve"> </w:t>
      </w:r>
      <w:r>
        <w:rPr>
          <w:spacing w:val="-14"/>
        </w:rPr>
        <w:t>为</w:t>
      </w:r>
      <w:hyperlink w:history="true" r:id="rId2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14"/>
          </w:rPr>
          <w:t>://</w:t>
        </w:r>
        <w:r>
          <w:rPr>
            <w:rFonts w:ascii="Times New Roman" w:hAnsi="Times New Roman" w:eastAsia="Times New Roman" w:cs="Times New Roman"/>
          </w:rPr>
          <w:t>ztb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14"/>
          </w:rPr>
          <w:t>/</w:t>
        </w:r>
        <w:r>
          <w:rPr>
            <w:rFonts w:ascii="Times New Roman" w:hAnsi="Times New Roman" w:eastAsia="Times New Roman" w:cs="Times New Roman"/>
          </w:rPr>
          <w:t>open</w:t>
        </w:r>
        <w:r>
          <w:rPr>
            <w:rFonts w:ascii="Times New Roman" w:hAnsi="Times New Roman" w:eastAsia="Times New Roman" w:cs="Times New Roman"/>
            <w:spacing w:val="14"/>
          </w:rPr>
          <w:t>-</w:t>
        </w:r>
        <w:r>
          <w:rPr>
            <w:rFonts w:ascii="Times New Roman" w:hAnsi="Times New Roman" w:eastAsia="Times New Roman" w:cs="Times New Roman"/>
          </w:rPr>
          <w:t>bid</w:t>
        </w:r>
      </w:hyperlink>
      <w:r>
        <w:rPr>
          <w:spacing w:val="14"/>
        </w:rPr>
        <w:t>，开标地点为项目所在地公共</w:t>
      </w:r>
      <w:r>
        <w:rPr>
          <w:spacing w:val="13"/>
        </w:rPr>
        <w:t>资源</w:t>
      </w:r>
      <w:r>
        <w:rPr>
          <w:spacing w:val="7"/>
        </w:rPr>
        <w:t>交易中心。</w:t>
      </w:r>
    </w:p>
    <w:p>
      <w:pPr>
        <w:pStyle w:val="BodyText"/>
        <w:ind w:left="651"/>
        <w:spacing w:before="287" w:line="222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参加开标会议的要求</w:t>
      </w:r>
    </w:p>
    <w:p>
      <w:pPr>
        <w:pStyle w:val="BodyText"/>
        <w:ind w:left="9" w:firstLine="645"/>
        <w:spacing w:before="285" w:line="393" w:lineRule="auto"/>
        <w:jc w:val="both"/>
        <w:rPr/>
      </w:pPr>
      <w:r>
        <w:rPr>
          <w:spacing w:val="9"/>
        </w:rPr>
        <w:t>投标人应在投标截止时间之前使用数字证书（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锁）</w:t>
      </w:r>
      <w:r>
        <w:rPr>
          <w:spacing w:val="-52"/>
        </w:rPr>
        <w:t xml:space="preserve"> </w:t>
      </w:r>
      <w:r>
        <w:rPr>
          <w:spacing w:val="9"/>
        </w:rPr>
        <w:t>自</w:t>
      </w:r>
      <w:r>
        <w:rPr>
          <w:spacing w:val="9"/>
        </w:rPr>
        <w:t>行登录不见面开标大厅，在线等待开标，并</w:t>
      </w:r>
      <w:r>
        <w:rPr>
          <w:spacing w:val="8"/>
        </w:rPr>
        <w:t>在开标期间保持通</w:t>
      </w:r>
      <w:r>
        <w:rPr>
          <w:spacing w:val="8"/>
        </w:rPr>
        <w:t>讯畅通。请各投标人使用统一交易平台最终确定的浏览器访问</w:t>
      </w:r>
      <w:r>
        <w:rPr>
          <w:spacing w:val="9"/>
        </w:rPr>
        <w:t>交易平台不见面开标大厅完成远程开标。投</w:t>
      </w:r>
      <w:r>
        <w:rPr>
          <w:spacing w:val="8"/>
        </w:rPr>
        <w:t>标人可全程在线观</w:t>
      </w:r>
      <w:r>
        <w:rPr>
          <w:spacing w:val="8"/>
        </w:rPr>
        <w:t>看开标过程，除本次招标明确投标人需前往现场递交纸质投标</w:t>
      </w:r>
      <w:r>
        <w:rPr>
          <w:spacing w:val="7"/>
        </w:rPr>
        <w:t>文件、光盘、样品等材料的情况外，本项目无需到现场开标。</w:t>
      </w:r>
    </w:p>
    <w:p>
      <w:pPr>
        <w:pStyle w:val="BodyText"/>
        <w:ind w:left="47" w:right="2" w:firstLine="596"/>
        <w:spacing w:before="2" w:line="393" w:lineRule="auto"/>
        <w:rPr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开标期间，各交易主体使用数字证书（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7"/>
        </w:rPr>
        <w:t>锁）在各自的</w:t>
      </w:r>
      <w:r>
        <w:rPr>
          <w:spacing w:val="7"/>
        </w:rPr>
        <w:t>电脑、移动终端上的所有操作、音视频及文字交互均被视为各</w:t>
      </w:r>
    </w:p>
    <w:p>
      <w:pPr>
        <w:spacing w:line="393" w:lineRule="auto"/>
        <w:sectPr>
          <w:footerReference w:type="default" r:id="rId1"/>
          <w:pgSz w:w="11906" w:h="16839"/>
          <w:pgMar w:top="1431" w:right="1643" w:bottom="1156" w:left="1645" w:header="0" w:footer="991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01" w:line="220" w:lineRule="auto"/>
        <w:rPr/>
      </w:pPr>
      <w:r>
        <w:rPr>
          <w:spacing w:val="8"/>
        </w:rPr>
        <w:t>交易主体的行为，并各自承担相应的法律责任。</w:t>
      </w:r>
    </w:p>
    <w:p>
      <w:pPr>
        <w:ind w:left="637"/>
        <w:spacing w:before="290" w:line="222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"/>
        </w:rPr>
        <w:t>二）开标程序</w:t>
      </w:r>
    </w:p>
    <w:p>
      <w:pPr>
        <w:pStyle w:val="BodyText"/>
        <w:ind w:right="2" w:firstLine="670"/>
        <w:spacing w:before="285" w:line="308" w:lineRule="auto"/>
        <w:rPr/>
      </w:pPr>
      <w:r>
        <w:rPr>
          <w:rFonts w:ascii="Times New Roman" w:hAnsi="Times New Roman" w:eastAsia="Times New Roman" w:cs="Times New Roman"/>
          <w:spacing w:val="16"/>
        </w:rPr>
        <w:t>1.</w:t>
      </w:r>
      <w:r>
        <w:rPr>
          <w:spacing w:val="16"/>
        </w:rPr>
        <w:t>投标人参加开标须准备生成投标文件的数字证书（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8"/>
        </w:rPr>
        <w:t>锁）以供开标时解密投标文件。</w:t>
      </w:r>
    </w:p>
    <w:p>
      <w:pPr>
        <w:pStyle w:val="BodyText"/>
        <w:ind w:left="640"/>
        <w:spacing w:before="286" w:line="221" w:lineRule="auto"/>
        <w:rPr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6"/>
        </w:rPr>
        <w:t>由招标人代表（包括招标代理机构，下同）进行开标。</w:t>
      </w:r>
    </w:p>
    <w:p>
      <w:pPr>
        <w:pStyle w:val="BodyText"/>
        <w:ind w:left="646"/>
        <w:spacing w:before="288"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开标时，如发现以下情况之一的，相应投标文件拒收：</w:t>
      </w:r>
    </w:p>
    <w:p>
      <w:pPr>
        <w:pStyle w:val="BodyText"/>
        <w:ind w:left="637"/>
        <w:spacing w:before="289" w:line="222" w:lineRule="auto"/>
        <w:rPr/>
      </w:pPr>
      <w:r>
        <w:rPr>
          <w:spacing w:val="1"/>
        </w:rPr>
        <w:t>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）投标人未按规定加密的投标文件。</w:t>
      </w:r>
    </w:p>
    <w:p>
      <w:pPr>
        <w:pStyle w:val="BodyText"/>
        <w:ind w:left="637"/>
        <w:spacing w:before="285" w:line="220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）未在投标截止时间前完成上传的投标文件。</w:t>
      </w:r>
    </w:p>
    <w:p>
      <w:pPr>
        <w:pStyle w:val="BodyText"/>
        <w:ind w:left="3" w:firstLine="634"/>
        <w:spacing w:before="291" w:line="30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）未通过资格预审的申请人提交的投标文件。（</w:t>
      </w:r>
      <w:r>
        <w:rPr/>
        <w:t>采用资</w:t>
      </w:r>
      <w:r>
        <w:rPr>
          <w:spacing w:val="8"/>
        </w:rPr>
        <w:t>格预审方式招标的）</w:t>
      </w:r>
    </w:p>
    <w:p>
      <w:pPr>
        <w:pStyle w:val="BodyText"/>
        <w:ind w:left="44" w:right="2" w:firstLine="592"/>
        <w:spacing w:before="285" w:line="307" w:lineRule="auto"/>
        <w:rPr/>
      </w:pPr>
      <w:r>
        <w:rPr>
          <w:spacing w:val="15"/>
        </w:rPr>
        <w:t>（</w:t>
      </w:r>
      <w:r>
        <w:rPr>
          <w:rFonts w:ascii="Times New Roman" w:hAnsi="Times New Roman" w:eastAsia="Times New Roman" w:cs="Times New Roman"/>
          <w:spacing w:val="15"/>
        </w:rPr>
        <w:t>4</w:t>
      </w:r>
      <w:r>
        <w:rPr>
          <w:spacing w:val="15"/>
        </w:rPr>
        <w:t>）未在投标截止时间前递交纸质投标文件、光盘、样</w:t>
      </w:r>
      <w:r>
        <w:rPr>
          <w:spacing w:val="-12"/>
        </w:rPr>
        <w:t>品等材料的。（若有）</w:t>
      </w:r>
    </w:p>
    <w:p>
      <w:pPr>
        <w:pStyle w:val="BodyText"/>
        <w:ind w:left="637"/>
        <w:spacing w:before="290" w:line="221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）投标文件不符合招标文件规定的其他接收要求的。</w:t>
      </w:r>
    </w:p>
    <w:p>
      <w:pPr>
        <w:pStyle w:val="BodyText"/>
        <w:ind w:left="638"/>
        <w:spacing w:before="290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spacing w:val="1"/>
        </w:rPr>
        <w:t>开标程序（</w:t>
      </w:r>
      <w:r>
        <w:rPr>
          <w:spacing w:val="-72"/>
        </w:rPr>
        <w:t xml:space="preserve"> </w:t>
      </w:r>
      <w:r>
        <w:rPr>
          <w:spacing w:val="1"/>
        </w:rPr>
        <w:t>一次开标）</w:t>
      </w:r>
    </w:p>
    <w:p>
      <w:pPr>
        <w:pStyle w:val="BodyText"/>
        <w:ind w:left="637"/>
        <w:spacing w:before="287" w:line="220" w:lineRule="auto"/>
        <w:rPr/>
      </w:pPr>
      <w:r>
        <w:rPr>
          <w:spacing w:val="-10"/>
        </w:rPr>
        <w:t>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0"/>
        </w:rPr>
        <w:t>）宣布开始</w:t>
      </w:r>
    </w:p>
    <w:p>
      <w:pPr>
        <w:pStyle w:val="BodyText"/>
        <w:ind w:left="2" w:firstLine="663"/>
        <w:spacing w:before="290" w:line="393" w:lineRule="auto"/>
        <w:rPr/>
      </w:pPr>
      <w:r>
        <w:rPr>
          <w:spacing w:val="7"/>
        </w:rPr>
        <w:t>至投标截止时间，招标人宣布开始开标，宣布开标项目名</w:t>
      </w:r>
      <w:r>
        <w:rPr>
          <w:spacing w:val="4"/>
        </w:rPr>
        <w:t>称、招标人代表姓名（</w:t>
      </w:r>
      <w:r>
        <w:rPr>
          <w:spacing w:val="-29"/>
        </w:rPr>
        <w:t xml:space="preserve"> </w:t>
      </w:r>
      <w:r>
        <w:rPr>
          <w:spacing w:val="4"/>
        </w:rPr>
        <w:t>自行决定是否公布）、交易中心见证代</w:t>
      </w:r>
      <w:r>
        <w:rPr/>
        <w:t>表（</w:t>
      </w:r>
      <w:r>
        <w:rPr>
          <w:spacing w:val="-34"/>
        </w:rPr>
        <w:t xml:space="preserve"> </w:t>
      </w:r>
      <w:r>
        <w:rPr/>
        <w:t>自行决定是否公布）、监标人（</w:t>
      </w:r>
      <w:r>
        <w:rPr>
          <w:spacing w:val="-34"/>
        </w:rPr>
        <w:t xml:space="preserve"> </w:t>
      </w:r>
      <w:r>
        <w:rPr/>
        <w:t>自行决定是否</w:t>
      </w:r>
      <w:r>
        <w:rPr>
          <w:spacing w:val="-1"/>
        </w:rPr>
        <w:t>公布）等有</w:t>
      </w:r>
      <w:r>
        <w:rPr>
          <w:spacing w:val="6"/>
        </w:rPr>
        <w:t>关现场信息。</w:t>
      </w:r>
    </w:p>
    <w:p>
      <w:pPr>
        <w:pStyle w:val="BodyText"/>
        <w:ind w:left="637"/>
        <w:spacing w:before="1" w:line="220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）公布投标人数量</w:t>
      </w:r>
    </w:p>
    <w:p>
      <w:pPr>
        <w:spacing w:line="220" w:lineRule="auto"/>
        <w:sectPr>
          <w:footerReference w:type="default" r:id="rId3"/>
          <w:pgSz w:w="11906" w:h="16839"/>
          <w:pgMar w:top="1431" w:right="1643" w:bottom="1157" w:left="1651" w:header="0" w:footer="991" w:gutter="0"/>
        </w:sectPr>
        <w:rPr/>
      </w:pP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11" w:right="91" w:firstLine="634"/>
        <w:spacing w:before="101" w:line="393" w:lineRule="auto"/>
        <w:jc w:val="both"/>
        <w:rPr/>
      </w:pPr>
      <w:r>
        <w:rPr>
          <w:spacing w:val="8"/>
        </w:rPr>
        <w:t>招标人公布投标人数量及投标保证金缴纳情况。若开标系</w:t>
      </w:r>
      <w:r>
        <w:rPr>
          <w:spacing w:val="6"/>
        </w:rPr>
        <w:t>统显示已递交投标文件的单位数量少于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6"/>
        </w:rPr>
        <w:t>家，招标人公布已递</w:t>
      </w:r>
      <w:r>
        <w:rPr>
          <w:spacing w:val="5"/>
        </w:rPr>
        <w:t>交投标文件单位名称，</w:t>
      </w:r>
      <w:r>
        <w:rPr>
          <w:spacing w:val="-72"/>
        </w:rPr>
        <w:t xml:space="preserve"> </w:t>
      </w:r>
      <w:r>
        <w:rPr>
          <w:spacing w:val="5"/>
        </w:rPr>
        <w:t>当场宣布招标失败，结束开标。</w:t>
      </w:r>
    </w:p>
    <w:p>
      <w:pPr>
        <w:pStyle w:val="BodyText"/>
        <w:ind w:left="632"/>
        <w:spacing w:before="1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3"/>
        </w:rPr>
        <w:t>）投标人解密</w:t>
      </w:r>
    </w:p>
    <w:p>
      <w:pPr>
        <w:pStyle w:val="BodyText"/>
        <w:ind w:left="644"/>
        <w:spacing w:before="286" w:line="222" w:lineRule="auto"/>
        <w:rPr/>
      </w:pPr>
      <w:r>
        <w:rPr>
          <w:spacing w:val="7"/>
        </w:rPr>
        <w:t>投标人数量大于等于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家，进入投标人解密</w:t>
      </w:r>
      <w:r>
        <w:rPr>
          <w:spacing w:val="6"/>
        </w:rPr>
        <w:t>环节。</w:t>
      </w:r>
    </w:p>
    <w:p>
      <w:pPr>
        <w:pStyle w:val="BodyText"/>
        <w:ind w:left="24" w:right="91" w:firstLine="619"/>
        <w:spacing w:before="287" w:line="393" w:lineRule="auto"/>
        <w:rPr/>
      </w:pPr>
      <w:r>
        <w:rPr>
          <w:spacing w:val="2"/>
        </w:rPr>
        <w:t>投标人解密时间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  </w:t>
      </w:r>
      <w:r>
        <w:rPr>
          <w:spacing w:val="2"/>
        </w:rPr>
        <w:t>分钟或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60 </w:t>
      </w:r>
      <w:r>
        <w:rPr>
          <w:spacing w:val="2"/>
        </w:rPr>
        <w:t>分钟或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120 </w:t>
      </w:r>
      <w:r>
        <w:rPr>
          <w:spacing w:val="1"/>
        </w:rPr>
        <w:t>分钟。投标人解</w:t>
      </w:r>
      <w:r>
        <w:rPr>
          <w:spacing w:val="-2"/>
        </w:rPr>
        <w:t>密方式：</w:t>
      </w:r>
    </w:p>
    <w:p>
      <w:pPr>
        <w:pStyle w:val="BodyText"/>
        <w:ind w:right="91" w:firstLine="644"/>
        <w:spacing w:before="3" w:line="392" w:lineRule="auto"/>
        <w:jc w:val="both"/>
        <w:rPr/>
      </w:pPr>
      <w:r>
        <w:rPr>
          <w:spacing w:val="21"/>
        </w:rPr>
        <w:t>投标人使用统一交易平台最终确定的浏览器自行登录交</w:t>
      </w:r>
      <w:r>
        <w:rPr>
          <w:spacing w:val="8"/>
        </w:rPr>
        <w:t>易平台不见面开标大厅。待招标人点击解密指令后，投标人使</w:t>
      </w:r>
      <w:r>
        <w:rPr>
          <w:spacing w:val="9"/>
        </w:rPr>
        <w:t>用生成投标文件确保有效的数字证书（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锁）在线解密。</w:t>
      </w:r>
    </w:p>
    <w:p>
      <w:pPr>
        <w:pStyle w:val="BodyText"/>
        <w:spacing w:before="2" w:line="220" w:lineRule="auto"/>
        <w:jc w:val="right"/>
        <w:rPr/>
      </w:pPr>
      <w:r>
        <w:rPr>
          <w:spacing w:val="-1"/>
        </w:rPr>
        <w:t>若成功解密的投标人少于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 </w:t>
      </w:r>
      <w:r>
        <w:rPr>
          <w:spacing w:val="-1"/>
        </w:rPr>
        <w:t>家，招标人宣布本次招标失败。</w:t>
      </w:r>
    </w:p>
    <w:p>
      <w:pPr>
        <w:pStyle w:val="BodyText"/>
        <w:ind w:left="632"/>
        <w:spacing w:before="291" w:line="222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）招标人解密</w:t>
      </w:r>
    </w:p>
    <w:p>
      <w:pPr>
        <w:pStyle w:val="BodyText"/>
        <w:ind w:firstLine="639"/>
        <w:spacing w:before="286" w:line="393" w:lineRule="auto"/>
        <w:rPr/>
      </w:pPr>
      <w:r>
        <w:rPr>
          <w:spacing w:val="8"/>
        </w:rPr>
        <w:t>全部投标人解密完成后或投标人解密时间结束，招标人使</w:t>
      </w:r>
      <w:r>
        <w:rPr>
          <w:spacing w:val="4"/>
        </w:rPr>
        <w:t>用生成招标文件确保有效的数字证书（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锁）解密投标文件。</w:t>
      </w:r>
    </w:p>
    <w:p>
      <w:pPr>
        <w:pStyle w:val="BodyText"/>
        <w:ind w:left="632"/>
        <w:spacing w:before="1" w:line="221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8"/>
        </w:rPr>
        <w:t>）抽取系数、参数、清单等（若有）</w:t>
      </w:r>
    </w:p>
    <w:p>
      <w:pPr>
        <w:pStyle w:val="BodyText"/>
        <w:ind w:left="632"/>
        <w:spacing w:before="289" w:line="222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spacing w:val="11"/>
        </w:rPr>
        <w:t>）确定评审区间（若有）</w:t>
      </w:r>
    </w:p>
    <w:p>
      <w:pPr>
        <w:pStyle w:val="BodyText"/>
        <w:ind w:left="632"/>
        <w:spacing w:before="287" w:line="220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spacing w:val="8"/>
        </w:rPr>
        <w:t>）公布开标结果</w:t>
      </w:r>
    </w:p>
    <w:p>
      <w:pPr>
        <w:pStyle w:val="BodyText"/>
        <w:ind w:left="2" w:right="91" w:firstLine="643"/>
        <w:spacing w:before="290" w:line="393" w:lineRule="auto"/>
        <w:rPr/>
      </w:pPr>
      <w:r>
        <w:rPr>
          <w:spacing w:val="8"/>
        </w:rPr>
        <w:t>招标人解密完成后，开标系统公布投标人名称、项目负责</w:t>
      </w:r>
      <w:r>
        <w:rPr>
          <w:spacing w:val="8"/>
        </w:rPr>
        <w:t>人、投标报价、工期、质量目标等内容。</w:t>
      </w:r>
    </w:p>
    <w:p>
      <w:pPr>
        <w:pStyle w:val="BodyText"/>
        <w:ind w:left="632"/>
        <w:spacing w:before="1" w:line="222" w:lineRule="auto"/>
        <w:rPr/>
      </w:pPr>
      <w:r>
        <w:rPr>
          <w:spacing w:val="-5"/>
        </w:rPr>
        <w:t>（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）异议及回复</w:t>
      </w:r>
    </w:p>
    <w:p>
      <w:pPr>
        <w:spacing w:line="222" w:lineRule="auto"/>
        <w:sectPr>
          <w:footerReference w:type="default" r:id="rId4"/>
          <w:pgSz w:w="11906" w:h="16839"/>
          <w:pgMar w:top="1431" w:right="1554" w:bottom="1157" w:left="1656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0" w:firstLine="635"/>
        <w:spacing w:before="101" w:line="393" w:lineRule="auto"/>
        <w:jc w:val="both"/>
        <w:rPr/>
      </w:pPr>
      <w:r>
        <w:rPr>
          <w:spacing w:val="8"/>
        </w:rPr>
        <w:t>若投标人对开标有异议，应在开标过程（开标结束前）中</w:t>
      </w:r>
      <w:r>
        <w:rPr>
          <w:spacing w:val="9"/>
        </w:rPr>
        <w:t>通过不见面开标大厅的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我有异议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按钮进行现场异议，招标人</w:t>
      </w:r>
      <w:r>
        <w:rPr>
          <w:spacing w:val="8"/>
        </w:rPr>
        <w:t>通过不见面开标大厅当场在线文字答复。异议及异议答复内容</w:t>
      </w:r>
      <w:r>
        <w:rPr>
          <w:spacing w:val="7"/>
        </w:rPr>
        <w:t>应面向所有投标人公开。</w:t>
      </w:r>
    </w:p>
    <w:p>
      <w:pPr>
        <w:pStyle w:val="BodyText"/>
        <w:ind w:left="635"/>
        <w:spacing w:line="222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9</w:t>
      </w:r>
      <w:r>
        <w:rPr>
          <w:spacing w:val="8"/>
        </w:rPr>
        <w:t>）投标人确认</w:t>
      </w:r>
    </w:p>
    <w:p>
      <w:pPr>
        <w:pStyle w:val="BodyText"/>
        <w:ind w:left="2" w:firstLine="650"/>
        <w:spacing w:before="285" w:line="393" w:lineRule="auto"/>
        <w:rPr/>
      </w:pPr>
      <w:r>
        <w:rPr>
          <w:spacing w:val="7"/>
        </w:rPr>
        <w:t>开标结果当场公布后，投标人应在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 </w:t>
      </w:r>
      <w:r>
        <w:rPr>
          <w:spacing w:val="7"/>
        </w:rPr>
        <w:t>分钟内对开标结果进</w:t>
      </w:r>
      <w:r>
        <w:rPr>
          <w:spacing w:val="9"/>
        </w:rPr>
        <w:t>行确认，未在规定时间内完成在线确认的视为自动确认。</w:t>
      </w:r>
    </w:p>
    <w:p>
      <w:pPr>
        <w:pStyle w:val="BodyText"/>
        <w:ind w:left="635"/>
        <w:spacing w:before="2" w:line="220" w:lineRule="auto"/>
        <w:rPr/>
      </w:pPr>
      <w:r>
        <w:rPr>
          <w:spacing w:val="-3"/>
        </w:rPr>
        <w:t>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）开标结束</w:t>
      </w:r>
    </w:p>
    <w:p>
      <w:pPr>
        <w:pStyle w:val="BodyText"/>
        <w:ind w:left="12" w:right="2" w:firstLine="629"/>
        <w:spacing w:before="289" w:line="393" w:lineRule="auto"/>
        <w:rPr/>
      </w:pPr>
      <w:r>
        <w:rPr>
          <w:spacing w:val="11"/>
        </w:rPr>
        <w:t>全部投标人完成在线确认或</w:t>
      </w:r>
      <w:r>
        <w:rPr>
          <w:rFonts w:ascii="Times New Roman" w:hAnsi="Times New Roman" w:eastAsia="Times New Roman" w:cs="Times New Roman"/>
          <w:spacing w:val="11"/>
        </w:rPr>
        <w:t>5 </w:t>
      </w:r>
      <w:r>
        <w:rPr>
          <w:spacing w:val="11"/>
        </w:rPr>
        <w:t>分钟过后，招标人宣布本次</w:t>
      </w:r>
      <w:r>
        <w:rPr>
          <w:spacing w:val="3"/>
        </w:rPr>
        <w:t>开标结束。</w:t>
      </w:r>
    </w:p>
    <w:p>
      <w:pPr>
        <w:pStyle w:val="BodyText"/>
        <w:ind w:right="2" w:firstLine="641"/>
        <w:spacing w:before="2" w:line="392" w:lineRule="auto"/>
        <w:rPr/>
      </w:pPr>
      <w:r>
        <w:rPr>
          <w:spacing w:val="22"/>
        </w:rPr>
        <w:t>开标时抽取产生的结果以及现场录入的备注</w:t>
      </w:r>
      <w:r>
        <w:rPr>
          <w:spacing w:val="21"/>
        </w:rPr>
        <w:t>说明均与开</w:t>
      </w:r>
      <w:r>
        <w:rPr>
          <w:spacing w:val="9"/>
        </w:rPr>
        <w:t>标记录一起在浙江省公共资源交易服务平台予以公布。</w:t>
      </w:r>
    </w:p>
    <w:p>
      <w:pPr>
        <w:pStyle w:val="BodyText"/>
        <w:ind w:left="646"/>
        <w:spacing w:before="2" w:line="222" w:lineRule="auto"/>
        <w:rPr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spacing w:val="6"/>
        </w:rPr>
        <w:t>开标特别说明</w:t>
      </w:r>
    </w:p>
    <w:p>
      <w:pPr>
        <w:pStyle w:val="BodyText"/>
        <w:ind w:left="635"/>
        <w:spacing w:before="287" w:line="222" w:lineRule="auto"/>
        <w:rPr/>
      </w:pPr>
      <w:r>
        <w:rPr>
          <w:spacing w:val="3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）开标解密使用投标人上传的电子投标文件。</w:t>
      </w:r>
    </w:p>
    <w:p>
      <w:pPr>
        <w:pStyle w:val="BodyText"/>
        <w:ind w:left="6" w:right="2" w:firstLine="629"/>
        <w:spacing w:before="288" w:line="336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）因投标人原因造成其电子投标文件未解密的，视为</w:t>
      </w:r>
      <w:r>
        <w:rPr>
          <w:spacing w:val="8"/>
        </w:rPr>
        <w:t>撤销其投标文件；因投标人之外的原因造成电子投标文件未解</w:t>
      </w:r>
      <w:r>
        <w:rPr>
          <w:spacing w:val="7"/>
        </w:rPr>
        <w:t>密的，视为撤回其投标文件。</w:t>
      </w:r>
    </w:p>
    <w:p>
      <w:pPr>
        <w:pStyle w:val="BodyText"/>
        <w:ind w:left="16" w:right="2" w:firstLine="619"/>
        <w:spacing w:before="286" w:line="307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）部分投标人的电子投标文件无法解密的，其他投标</w:t>
      </w:r>
      <w:r>
        <w:rPr>
          <w:spacing w:val="6"/>
        </w:rPr>
        <w:t>文件的开标可以继续进行。</w:t>
      </w:r>
    </w:p>
    <w:p>
      <w:pPr>
        <w:pStyle w:val="BodyText"/>
        <w:ind w:right="14"/>
        <w:spacing w:before="290" w:line="222" w:lineRule="auto"/>
        <w:jc w:val="right"/>
        <w:rPr>
          <w:rFonts w:ascii="Times New Roman" w:hAnsi="Times New Roman" w:eastAsia="Times New Roman" w:cs="Times New Roman"/>
        </w:rPr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）投标人必须使用生成电子投标文件的数字证书（</w:t>
      </w:r>
      <w:r>
        <w:rPr>
          <w:rFonts w:ascii="Times New Roman" w:hAnsi="Times New Roman" w:eastAsia="Times New Roman" w:cs="Times New Roman"/>
        </w:rPr>
        <w:t>CA</w:t>
      </w:r>
    </w:p>
    <w:p>
      <w:pPr>
        <w:spacing w:line="222" w:lineRule="auto"/>
        <w:sectPr>
          <w:footerReference w:type="default" r:id="rId5"/>
          <w:pgSz w:w="11906" w:h="16839"/>
          <w:pgMar w:top="1431" w:right="1643" w:bottom="1156" w:left="1653" w:header="0" w:footer="992" w:gutter="0"/>
        </w:sectPr>
        <w:rPr>
          <w:rFonts w:ascii="Times New Roman" w:hAnsi="Times New Roman" w:eastAsia="Times New Roman" w:cs="Times New Roman"/>
        </w:rPr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rPr/>
      </w:pPr>
      <w:r>
        <w:rPr>
          <w:spacing w:val="8"/>
        </w:rPr>
        <w:t>锁）解密电子投标文件。</w:t>
      </w:r>
    </w:p>
    <w:p>
      <w:pPr>
        <w:pStyle w:val="BodyText"/>
        <w:ind w:left="730"/>
        <w:spacing w:before="287" w:line="222" w:lineRule="auto"/>
        <w:rPr/>
      </w:pPr>
      <w:r>
        <w:rPr>
          <w:spacing w:val="3"/>
        </w:rPr>
        <w:t>6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不见面开标软硬件要求</w:t>
      </w:r>
    </w:p>
    <w:p>
      <w:pPr>
        <w:pStyle w:val="BodyText"/>
        <w:ind w:left="1" w:right="83" w:firstLine="648"/>
        <w:spacing w:before="286" w:line="393" w:lineRule="auto"/>
        <w:rPr/>
      </w:pPr>
      <w:r>
        <w:rPr>
          <w:spacing w:val="21"/>
        </w:rPr>
        <w:t>投标人电脑或移动终端的硬件设备和软件系统配置必须</w:t>
      </w:r>
      <w:r>
        <w:rPr>
          <w:spacing w:val="9"/>
        </w:rPr>
        <w:t>符合不见面开标技术要求并运行正常，否则投</w:t>
      </w:r>
      <w:r>
        <w:rPr>
          <w:spacing w:val="8"/>
        </w:rPr>
        <w:t>标人自行承担不</w:t>
      </w:r>
      <w:r>
        <w:rPr>
          <w:spacing w:val="5"/>
        </w:rPr>
        <w:t>利后果。</w:t>
      </w:r>
    </w:p>
    <w:p>
      <w:pPr>
        <w:pStyle w:val="BodyText"/>
        <w:ind w:left="42" w:right="83" w:firstLine="595"/>
        <w:spacing w:before="1" w:line="306" w:lineRule="auto"/>
        <w:rPr/>
      </w:pPr>
      <w:r>
        <w:rPr>
          <w:spacing w:val="9"/>
        </w:rPr>
        <w:t>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9"/>
        </w:rPr>
        <w:t>）建议电脑配置：系统</w:t>
      </w:r>
      <w:r>
        <w:rPr>
          <w:rFonts w:ascii="Times New Roman" w:hAnsi="Times New Roman" w:eastAsia="Times New Roman" w:cs="Times New Roman"/>
        </w:rPr>
        <w:t>windows</w:t>
      </w:r>
      <w:r>
        <w:rPr>
          <w:rFonts w:ascii="Times New Roman" w:hAnsi="Times New Roman" w:eastAsia="Times New Roman" w:cs="Times New Roman"/>
          <w:spacing w:val="9"/>
        </w:rPr>
        <w:t>7</w:t>
      </w:r>
      <w:r>
        <w:rPr>
          <w:spacing w:val="9"/>
        </w:rPr>
        <w:t>及以上</w:t>
      </w:r>
      <w:r>
        <w:rPr>
          <w:rFonts w:ascii="Times New Roman" w:hAnsi="Times New Roman" w:eastAsia="Times New Roman" w:cs="Times New Roman"/>
          <w:spacing w:val="9"/>
        </w:rPr>
        <w:t>64</w:t>
      </w:r>
      <w:r>
        <w:rPr>
          <w:spacing w:val="9"/>
        </w:rPr>
        <w:t>位操作系统</w:t>
      </w:r>
      <w:r>
        <w:rPr>
          <w:spacing w:val="3"/>
        </w:rPr>
        <w:t>电脑内存</w:t>
      </w:r>
      <w:r>
        <w:rPr>
          <w:rFonts w:ascii="Times New Roman" w:hAnsi="Times New Roman" w:eastAsia="Times New Roman" w:cs="Times New Roman"/>
          <w:spacing w:val="3"/>
        </w:rPr>
        <w:t>4G</w:t>
      </w:r>
      <w:r>
        <w:rPr>
          <w:spacing w:val="3"/>
        </w:rPr>
        <w:t>及以上；</w:t>
      </w:r>
    </w:p>
    <w:p>
      <w:pPr>
        <w:pStyle w:val="BodyText"/>
        <w:ind w:left="29" w:right="84" w:firstLine="607"/>
        <w:spacing w:before="290" w:line="308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）网络环境：应在稳定良好的网络环境，保障在线解</w:t>
      </w:r>
      <w:r>
        <w:rPr>
          <w:spacing w:val="5"/>
        </w:rPr>
        <w:t>密及远程开标过程流畅；</w:t>
      </w:r>
    </w:p>
    <w:p>
      <w:pPr>
        <w:pStyle w:val="BodyText"/>
        <w:ind w:left="14" w:right="83" w:firstLine="622"/>
        <w:spacing w:before="286" w:line="307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）工具：应安装最新版本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3"/>
        </w:rPr>
        <w:t>互认客户端，请前往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浙江</w:t>
      </w:r>
      <w:r>
        <w:rPr>
          <w:spacing w:val="8"/>
        </w:rPr>
        <w:t>省统一招投标交易平台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工具下载页面进行下载安装；</w:t>
      </w:r>
    </w:p>
    <w:p>
      <w:pPr>
        <w:pStyle w:val="BodyText"/>
        <w:ind w:right="82" w:firstLine="637"/>
        <w:spacing w:before="289" w:line="305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）浏览器：建议使用</w:t>
      </w:r>
      <w:r>
        <w:rPr>
          <w:rFonts w:ascii="Times New Roman" w:hAnsi="Times New Roman" w:eastAsia="Times New Roman" w:cs="Times New Roman"/>
        </w:rPr>
        <w:t>GoogleChrome</w:t>
      </w:r>
      <w:r>
        <w:rPr>
          <w:rFonts w:ascii="Times New Roman" w:hAnsi="Times New Roman" w:eastAsia="Times New Roman" w:cs="Times New Roman"/>
          <w:spacing w:val="5"/>
        </w:rPr>
        <w:t>-139.0.7258.140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4"/>
        </w:rPr>
        <w:t>64</w:t>
      </w:r>
      <w:r>
        <w:rPr>
          <w:spacing w:val="8"/>
        </w:rPr>
        <w:t>位）以上、</w:t>
      </w:r>
      <w:r>
        <w:rPr>
          <w:rFonts w:ascii="Times New Roman" w:hAnsi="Times New Roman" w:eastAsia="Times New Roman" w:cs="Times New Roman"/>
        </w:rPr>
        <w:t>MicrosoftEdge</w:t>
      </w:r>
      <w:r>
        <w:rPr>
          <w:rFonts w:ascii="Times New Roman" w:hAnsi="Times New Roman" w:eastAsia="Times New Roman" w:cs="Times New Roman"/>
          <w:spacing w:val="8"/>
        </w:rPr>
        <w:t>-140.0.3485.54</w:t>
      </w: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64</w:t>
      </w:r>
      <w:r>
        <w:rPr>
          <w:spacing w:val="8"/>
        </w:rPr>
        <w:t>位）以上。</w:t>
      </w:r>
    </w:p>
    <w:p>
      <w:pPr>
        <w:ind w:left="651"/>
        <w:spacing w:before="294" w:line="227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二、评审区间确定</w:t>
      </w:r>
    </w:p>
    <w:p>
      <w:pPr>
        <w:pStyle w:val="BodyText"/>
        <w:ind w:left="2" w:firstLine="635"/>
        <w:spacing w:before="281" w:line="336" w:lineRule="auto"/>
        <w:rPr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一）当投标截止时间前递交投标文件的投标</w:t>
      </w:r>
      <w:r>
        <w:rPr>
          <w:spacing w:val="5"/>
        </w:rPr>
        <w:t>人（投标价</w:t>
      </w:r>
      <w:r>
        <w:rPr>
          <w:spacing w:val="2"/>
        </w:rPr>
        <w:t>低于风险控制价或高于最高投标限价的投标</w:t>
      </w:r>
      <w:r>
        <w:rPr>
          <w:spacing w:val="1"/>
        </w:rPr>
        <w:t>人不计入）</w:t>
      </w:r>
      <w:r>
        <w:rPr>
          <w:rFonts w:ascii="Times New Roman" w:hAnsi="Times New Roman" w:eastAsia="Times New Roman" w:cs="Times New Roman"/>
          <w:spacing w:val="1"/>
        </w:rPr>
        <w:t>≤20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家，</w:t>
      </w:r>
      <w:r>
        <w:rPr>
          <w:spacing w:val="8"/>
        </w:rPr>
        <w:t>所有投标人入围评审区间进入后续评标程序；</w:t>
      </w:r>
    </w:p>
    <w:p>
      <w:pPr>
        <w:pStyle w:val="BodyText"/>
        <w:ind w:left="2" w:right="81" w:firstLine="635"/>
        <w:spacing w:before="288" w:line="336" w:lineRule="auto"/>
        <w:rPr/>
      </w:pPr>
      <w:r>
        <w:rPr>
          <w:spacing w:val="6"/>
        </w:rPr>
        <w:t>（</w:t>
      </w:r>
      <w:r>
        <w:rPr>
          <w:spacing w:val="-82"/>
        </w:rPr>
        <w:t xml:space="preserve"> </w:t>
      </w:r>
      <w:r>
        <w:rPr>
          <w:spacing w:val="6"/>
        </w:rPr>
        <w:t>二）当投标截止时间前递交投标文件的投标人（投</w:t>
      </w:r>
      <w:r>
        <w:rPr>
          <w:spacing w:val="5"/>
        </w:rPr>
        <w:t>标价</w:t>
      </w:r>
      <w:r>
        <w:rPr>
          <w:spacing w:val="13"/>
        </w:rPr>
        <w:t>低于风险控制价或高于最高投标限价的投标人不计入）</w:t>
      </w:r>
      <w:r>
        <w:rPr>
          <w:rFonts w:ascii="Times New Roman" w:hAnsi="Times New Roman" w:eastAsia="Times New Roman" w:cs="Times New Roman"/>
          <w:spacing w:val="13"/>
        </w:rPr>
        <w:t>&gt;20</w:t>
      </w:r>
      <w:r>
        <w:rPr>
          <w:spacing w:val="13"/>
        </w:rPr>
        <w:t>家</w:t>
      </w:r>
      <w:r>
        <w:rPr>
          <w:spacing w:val="7"/>
        </w:rPr>
        <w:t>时，应启用评审区间。</w:t>
      </w:r>
    </w:p>
    <w:p>
      <w:pPr>
        <w:spacing w:line="336" w:lineRule="auto"/>
        <w:sectPr>
          <w:footerReference w:type="default" r:id="rId6"/>
          <w:pgSz w:w="11906" w:h="16839"/>
          <w:pgMar w:top="1431" w:right="1562" w:bottom="1155" w:left="1651" w:header="0" w:footer="992" w:gutter="0"/>
        </w:sectPr>
        <w:rPr/>
      </w:pP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6" w:right="97" w:firstLine="630"/>
        <w:spacing w:before="101" w:line="336" w:lineRule="auto"/>
        <w:rPr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三）投标价低于风险控制价或高于最高投标限价的投标</w:t>
      </w:r>
      <w:r>
        <w:rPr>
          <w:spacing w:val="8"/>
        </w:rPr>
        <w:t>人不计入评审区间确定范围，相关抽取或评审或确定工作应先</w:t>
      </w:r>
      <w:r>
        <w:rPr>
          <w:spacing w:val="8"/>
        </w:rPr>
        <w:t>将不计入的投标文件去除后方可开展。</w:t>
      </w:r>
    </w:p>
    <w:p>
      <w:pPr>
        <w:pStyle w:val="BodyText"/>
        <w:ind w:left="7" w:firstLine="629"/>
        <w:spacing w:before="290" w:line="350" w:lineRule="auto"/>
        <w:rPr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四）为防止投标人围标串标、恶意低价竞标、不合理贴</w:t>
      </w:r>
      <w:r>
        <w:rPr/>
        <w:t>近最高投标限价竞标，提高评标专家评标质量，结合信用评价、</w:t>
      </w:r>
      <w:r>
        <w:rPr>
          <w:spacing w:val="8"/>
        </w:rPr>
        <w:t>过往项目履约情况等因素，招标人在编制招标文件时选用一种</w:t>
      </w:r>
      <w:r>
        <w:rPr>
          <w:spacing w:val="7"/>
        </w:rPr>
        <w:t>合适的评审区间确定方式。</w:t>
      </w:r>
    </w:p>
    <w:p>
      <w:pPr>
        <w:pStyle w:val="BodyText"/>
        <w:ind w:left="1" w:right="97" w:firstLine="643"/>
        <w:spacing w:before="286" w:line="393" w:lineRule="auto"/>
        <w:jc w:val="both"/>
        <w:rPr/>
      </w:pPr>
      <w:r>
        <w:rPr>
          <w:spacing w:val="4"/>
        </w:rPr>
        <w:t>其中，采用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技术标通过制的综合评估法</w:t>
      </w:r>
      <w:r>
        <w:rPr>
          <w:rFonts w:ascii="Times New Roman" w:hAnsi="Times New Roman" w:eastAsia="Times New Roman" w:cs="Times New Roman"/>
          <w:spacing w:val="4"/>
        </w:rPr>
        <w:t>”“</w:t>
      </w:r>
      <w:r>
        <w:rPr>
          <w:spacing w:val="4"/>
        </w:rPr>
        <w:t>技术标打分制的</w:t>
      </w:r>
      <w:r>
        <w:rPr>
          <w:spacing w:val="15"/>
        </w:rPr>
        <w:t>综合评估法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spacing w:val="15"/>
        </w:rPr>
        <w:t>的，应选用去高去低抽取法、基准价入评法、价</w:t>
      </w:r>
      <w:r>
        <w:rPr>
          <w:spacing w:val="15"/>
        </w:rPr>
        <w:t>格抽取法、信用抽取法、组合入评法；采用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spacing w:val="15"/>
        </w:rPr>
        <w:t>经评审的最低投</w:t>
      </w:r>
      <w:r>
        <w:rPr>
          <w:spacing w:val="8"/>
        </w:rPr>
        <w:t>标价法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的，应选用最低投标价入评法。</w:t>
      </w:r>
    </w:p>
    <w:p>
      <w:pPr>
        <w:ind w:left="651"/>
        <w:spacing w:before="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方法一（去高去低抽取法）</w:t>
      </w:r>
    </w:p>
    <w:p>
      <w:pPr>
        <w:pStyle w:val="BodyText"/>
        <w:ind w:right="95" w:firstLine="654"/>
        <w:spacing w:before="288" w:line="390" w:lineRule="auto"/>
        <w:rPr/>
      </w:pPr>
      <w:r>
        <w:rPr>
          <w:spacing w:val="8"/>
        </w:rPr>
        <w:t>开标时，从所有投标人中分别去掉最高（超过最高投标限</w:t>
      </w:r>
      <w:r>
        <w:rPr>
          <w:spacing w:val="14"/>
        </w:rPr>
        <w:t>价的不计入）和最低（低于风险控制价的不计入）的</w:t>
      </w:r>
      <w:r>
        <w:rPr>
          <w:rFonts w:ascii="Times New Roman" w:hAnsi="Times New Roman" w:eastAsia="Times New Roman" w:cs="Times New Roman"/>
          <w:spacing w:val="13"/>
        </w:rPr>
        <w:t>K%</w:t>
      </w:r>
      <w:r>
        <w:rPr>
          <w:spacing w:val="13"/>
        </w:rPr>
        <w:t>个报</w:t>
      </w:r>
      <w:r>
        <w:rPr>
          <w:spacing w:val="5"/>
        </w:rPr>
        <w:t>价（</w:t>
      </w:r>
      <w:r>
        <w:rPr>
          <w:rFonts w:ascii="Times New Roman" w:hAnsi="Times New Roman" w:eastAsia="Times New Roman" w:cs="Times New Roman"/>
          <w:spacing w:val="5"/>
        </w:rPr>
        <w:t>K</w:t>
      </w:r>
      <w:r>
        <w:rPr>
          <w:spacing w:val="5"/>
        </w:rPr>
        <w:t>值在开标时从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15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20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25</w:t>
      </w:r>
      <w:r>
        <w:rPr>
          <w:spacing w:val="5"/>
        </w:rPr>
        <w:t>等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个值中随机抽取，</w:t>
      </w:r>
      <w:r>
        <w:rPr>
          <w:spacing w:val="14"/>
        </w:rPr>
        <w:t>四舍五入，如出现第</w:t>
      </w:r>
      <w:r>
        <w:rPr>
          <w:rFonts w:ascii="Times New Roman" w:hAnsi="Times New Roman" w:eastAsia="Times New Roman" w:cs="Times New Roman"/>
          <w:spacing w:val="14"/>
        </w:rPr>
        <w:t>K%</w:t>
      </w:r>
      <w:r>
        <w:rPr>
          <w:spacing w:val="14"/>
        </w:rPr>
        <w:t>个报价的投标人有多家报价相同</w:t>
      </w:r>
      <w:r>
        <w:rPr>
          <w:spacing w:val="13"/>
        </w:rPr>
        <w:t>时，</w:t>
      </w:r>
      <w:r>
        <w:rPr>
          <w:spacing w:val="12"/>
        </w:rPr>
        <w:t>通过随机抽取确定去除第</w:t>
      </w:r>
      <w:r>
        <w:rPr>
          <w:rFonts w:ascii="Times New Roman" w:hAnsi="Times New Roman" w:eastAsia="Times New Roman" w:cs="Times New Roman"/>
          <w:spacing w:val="12"/>
        </w:rPr>
        <w:t>K%</w:t>
      </w:r>
      <w:r>
        <w:rPr>
          <w:spacing w:val="12"/>
        </w:rPr>
        <w:t>个报价的投标人</w:t>
      </w:r>
      <w:r>
        <w:rPr>
          <w:spacing w:val="37"/>
        </w:rPr>
        <w:t>），</w:t>
      </w:r>
      <w:r>
        <w:rPr>
          <w:spacing w:val="12"/>
        </w:rPr>
        <w:t>随机抽取确</w:t>
      </w:r>
      <w:r>
        <w:rPr>
          <w:spacing w:val="8"/>
        </w:rPr>
        <w:t>定</w:t>
      </w:r>
      <w:r>
        <w:rPr>
          <w:rFonts w:ascii="Times New Roman" w:hAnsi="Times New Roman" w:eastAsia="Times New Roman" w:cs="Times New Roman"/>
          <w:spacing w:val="8"/>
        </w:rPr>
        <w:t>N</w:t>
      </w:r>
      <w:r>
        <w:rPr>
          <w:spacing w:val="8"/>
        </w:rPr>
        <w:t>家投标人进入。直接选用该方式时，</w:t>
      </w:r>
      <w:r>
        <w:rPr>
          <w:rFonts w:ascii="Times New Roman" w:hAnsi="Times New Roman" w:eastAsia="Times New Roman" w:cs="Times New Roman"/>
          <w:spacing w:val="8"/>
        </w:rPr>
        <w:t>N=20</w:t>
      </w:r>
      <w:r>
        <w:rPr>
          <w:spacing w:val="8"/>
        </w:rPr>
        <w:t>；去高去低后不</w:t>
      </w:r>
      <w:r>
        <w:rPr>
          <w:spacing w:val="7"/>
        </w:rPr>
        <w:t>足</w:t>
      </w:r>
      <w:r>
        <w:rPr>
          <w:rFonts w:ascii="Times New Roman" w:hAnsi="Times New Roman" w:eastAsia="Times New Roman" w:cs="Times New Roman"/>
          <w:spacing w:val="7"/>
        </w:rPr>
        <w:t>20</w:t>
      </w:r>
      <w:r>
        <w:rPr>
          <w:spacing w:val="7"/>
        </w:rPr>
        <w:t>家的，不再另行递补。</w:t>
      </w:r>
    </w:p>
    <w:p>
      <w:pPr>
        <w:ind w:left="651"/>
        <w:spacing w:before="3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方法二（基准价入评法）</w:t>
      </w:r>
    </w:p>
    <w:p>
      <w:pPr>
        <w:spacing w:line="220" w:lineRule="auto"/>
        <w:sectPr>
          <w:footerReference w:type="default" r:id="rId7"/>
          <w:pgSz w:w="11906" w:h="16839"/>
          <w:pgMar w:top="1431" w:right="1548" w:bottom="1157" w:left="1652" w:header="0" w:footer="992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right="95" w:firstLine="700"/>
        <w:spacing w:before="101" w:line="393" w:lineRule="auto"/>
        <w:jc w:val="both"/>
        <w:rPr/>
      </w:pPr>
      <w:r>
        <w:rPr>
          <w:spacing w:val="7"/>
        </w:rPr>
        <w:t>以最高投标限价下浮计算评标基准价的，开标</w:t>
      </w:r>
      <w:r>
        <w:rPr>
          <w:spacing w:val="6"/>
        </w:rPr>
        <w:t>时，以报价</w:t>
      </w:r>
      <w:r>
        <w:rPr>
          <w:spacing w:val="9"/>
        </w:rPr>
        <w:t>最接近评标基准价（投标价低于风险控制价或高于最高投标限</w:t>
      </w:r>
      <w:r>
        <w:rPr>
          <w:spacing w:val="13"/>
        </w:rPr>
        <w:t>价的投标人不计入）的</w:t>
      </w:r>
      <w:r>
        <w:rPr>
          <w:rFonts w:ascii="Times New Roman" w:hAnsi="Times New Roman" w:eastAsia="Times New Roman" w:cs="Times New Roman"/>
          <w:spacing w:val="13"/>
        </w:rPr>
        <w:t>N</w:t>
      </w:r>
      <w:r>
        <w:rPr>
          <w:spacing w:val="13"/>
        </w:rPr>
        <w:t>家进入评审区间，</w:t>
      </w:r>
      <w:r>
        <w:rPr>
          <w:spacing w:val="-83"/>
        </w:rPr>
        <w:t xml:space="preserve"> </w:t>
      </w:r>
      <w:r>
        <w:rPr>
          <w:spacing w:val="13"/>
        </w:rPr>
        <w:t>当选择第</w:t>
      </w:r>
      <w:r>
        <w:rPr>
          <w:rFonts w:ascii="Times New Roman" w:hAnsi="Times New Roman" w:eastAsia="Times New Roman" w:cs="Times New Roman"/>
          <w:spacing w:val="13"/>
        </w:rPr>
        <w:t>N</w:t>
      </w:r>
      <w:r>
        <w:rPr>
          <w:spacing w:val="13"/>
        </w:rPr>
        <w:t>家时出</w:t>
      </w:r>
      <w:r>
        <w:rPr>
          <w:spacing w:val="9"/>
        </w:rPr>
        <w:t>现多家报价与评标基准价之间的差额相同的，随机抽取确定第</w:t>
      </w:r>
      <w:r>
        <w:rPr>
          <w:rFonts w:ascii="Times New Roman" w:hAnsi="Times New Roman" w:eastAsia="Times New Roman" w:cs="Times New Roman"/>
          <w:spacing w:val="8"/>
        </w:rPr>
        <w:t>N</w:t>
      </w:r>
      <w:r>
        <w:rPr>
          <w:spacing w:val="8"/>
        </w:rPr>
        <w:t>家入围单位。直接选用该方式时，</w:t>
      </w:r>
      <w:r>
        <w:rPr>
          <w:rFonts w:ascii="Times New Roman" w:hAnsi="Times New Roman" w:eastAsia="Times New Roman" w:cs="Times New Roman"/>
          <w:spacing w:val="8"/>
        </w:rPr>
        <w:t>N=20</w:t>
      </w:r>
      <w:r>
        <w:rPr>
          <w:spacing w:val="8"/>
        </w:rPr>
        <w:t>。</w:t>
      </w:r>
    </w:p>
    <w:p>
      <w:pPr>
        <w:ind w:left="663"/>
        <w:spacing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方法三（价格抽取法）</w:t>
      </w:r>
    </w:p>
    <w:p>
      <w:pPr>
        <w:pStyle w:val="BodyText"/>
        <w:ind w:left="8" w:firstLine="658"/>
        <w:spacing w:before="273" w:line="391" w:lineRule="auto"/>
        <w:rPr/>
      </w:pPr>
      <w:r>
        <w:rPr>
          <w:spacing w:val="8"/>
        </w:rPr>
        <w:t>开标时，排除投标价低于风险控制价或高于最高投标限价</w:t>
      </w:r>
      <w:r>
        <w:rPr>
          <w:spacing w:val="9"/>
        </w:rPr>
        <w:t>的投标人后，分别去除投标报价最高和最低</w:t>
      </w:r>
      <w:r>
        <w:rPr>
          <w:spacing w:val="8"/>
        </w:rPr>
        <w:t>的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Q</w:t>
      </w:r>
      <w:r>
        <w:rPr>
          <w:spacing w:val="8"/>
        </w:rPr>
        <w:t>（开标时有效</w:t>
      </w:r>
      <w:r>
        <w:rPr>
          <w:spacing w:val="-1"/>
        </w:rPr>
        <w:t>投标人数量的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～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30%</w:t>
      </w:r>
      <w:r>
        <w:rPr>
          <w:spacing w:val="-1"/>
        </w:rPr>
        <w:t>，</w:t>
      </w:r>
      <w:r>
        <w:rPr>
          <w:spacing w:val="-84"/>
        </w:rPr>
        <w:t xml:space="preserve"> </w:t>
      </w:r>
      <w:r>
        <w:rPr>
          <w:spacing w:val="-1"/>
        </w:rPr>
        <w:t>由招标人编制招标文件时确定，</w:t>
      </w:r>
      <w:r>
        <w:rPr>
          <w:spacing w:val="-90"/>
        </w:rPr>
        <w:t xml:space="preserve"> </w:t>
      </w:r>
      <w:r>
        <w:rPr>
          <w:spacing w:val="-1"/>
        </w:rPr>
        <w:t>四</w:t>
      </w:r>
      <w:r>
        <w:rPr>
          <w:spacing w:val="5"/>
        </w:rPr>
        <w:t>舍五入，如出现第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Q </w:t>
      </w:r>
      <w:r>
        <w:rPr>
          <w:spacing w:val="5"/>
        </w:rPr>
        <w:t>个报价的投标人有多家报价相同时，通过</w:t>
      </w:r>
      <w:r>
        <w:rPr>
          <w:spacing w:val="5"/>
        </w:rPr>
        <w:t>随机抽取确定去除的第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Q </w:t>
      </w:r>
      <w:r>
        <w:rPr>
          <w:spacing w:val="5"/>
        </w:rPr>
        <w:t>个报价的投标人）个报价，将剩余投</w:t>
      </w:r>
      <w:r>
        <w:rPr>
          <w:spacing w:val="10"/>
        </w:rPr>
        <w:t>标报价从高到低排序后计算差值</w:t>
      </w:r>
      <w:r>
        <w:rPr>
          <w:rFonts w:ascii="Times New Roman" w:hAnsi="Times New Roman" w:eastAsia="Times New Roman" w:cs="Times New Roman"/>
          <w:spacing w:val="10"/>
        </w:rPr>
        <w:t>[</w:t>
      </w:r>
      <w:r>
        <w:rPr>
          <w:spacing w:val="10"/>
        </w:rPr>
        <w:t>差值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C=</w:t>
      </w:r>
      <w:r>
        <w:rPr>
          <w:spacing w:val="10"/>
        </w:rPr>
        <w:t>（最高报价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BH</w:t>
      </w:r>
      <w:r>
        <w:rPr>
          <w:rFonts w:ascii="Times New Roman" w:hAnsi="Times New Roman" w:eastAsia="Times New Roman" w:cs="Times New Roman"/>
          <w:spacing w:val="10"/>
        </w:rPr>
        <w:t>-</w:t>
      </w:r>
      <w:r>
        <w:rPr>
          <w:spacing w:val="10"/>
        </w:rPr>
        <w:t>最低</w:t>
      </w:r>
      <w:r>
        <w:rPr>
          <w:spacing w:val="-6"/>
        </w:rPr>
        <w:t>报价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BL</w:t>
      </w:r>
      <w:r>
        <w:rPr>
          <w:spacing w:val="-6"/>
        </w:rPr>
        <w:t>）</w:t>
      </w:r>
      <w:r>
        <w:rPr>
          <w:rFonts w:ascii="Times New Roman" w:hAnsi="Times New Roman" w:eastAsia="Times New Roman" w:cs="Times New Roman"/>
          <w:spacing w:val="-6"/>
        </w:rPr>
        <w:t>/3</w:t>
      </w:r>
      <w:r>
        <w:rPr>
          <w:spacing w:val="-6"/>
        </w:rPr>
        <w:t>，四舍五入保留至元</w:t>
      </w:r>
      <w:r>
        <w:rPr>
          <w:rFonts w:ascii="Times New Roman" w:hAnsi="Times New Roman" w:eastAsia="Times New Roman" w:cs="Times New Roman"/>
          <w:spacing w:val="-6"/>
        </w:rPr>
        <w:t>]</w:t>
      </w:r>
      <w:r>
        <w:rPr>
          <w:spacing w:val="-6"/>
        </w:rPr>
        <w:t>，按差值将投标报价分为高</w:t>
      </w:r>
      <w:r>
        <w:rPr>
          <w:rFonts w:ascii="Times New Roman" w:hAnsi="Times New Roman" w:eastAsia="Times New Roman" w:cs="Times New Roman"/>
          <w:spacing w:val="-6"/>
        </w:rPr>
        <w:t>[BH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2"/>
        </w:rPr>
        <w:t>（含）至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BH</w:t>
      </w:r>
      <w:r>
        <w:rPr>
          <w:rFonts w:ascii="Times New Roman" w:hAnsi="Times New Roman" w:eastAsia="Times New Roman" w:cs="Times New Roman"/>
          <w:spacing w:val="2"/>
        </w:rPr>
        <w:t>-C</w:t>
      </w:r>
      <w:r>
        <w:rPr>
          <w:spacing w:val="2"/>
        </w:rPr>
        <w:t>（含）</w:t>
      </w:r>
      <w:r>
        <w:rPr>
          <w:rFonts w:ascii="Times New Roman" w:hAnsi="Times New Roman" w:eastAsia="Times New Roman" w:cs="Times New Roman"/>
          <w:spacing w:val="2"/>
        </w:rPr>
        <w:t>]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、</w:t>
      </w:r>
      <w:r>
        <w:rPr>
          <w:spacing w:val="-92"/>
        </w:rPr>
        <w:t xml:space="preserve"> </w:t>
      </w:r>
      <w:r>
        <w:rPr>
          <w:spacing w:val="2"/>
        </w:rPr>
        <w:t>中</w:t>
      </w: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rFonts w:ascii="Times New Roman" w:hAnsi="Times New Roman" w:eastAsia="Times New Roman" w:cs="Times New Roman"/>
        </w:rPr>
        <w:t>BH</w:t>
      </w:r>
      <w:r>
        <w:rPr>
          <w:rFonts w:ascii="Times New Roman" w:hAnsi="Times New Roman" w:eastAsia="Times New Roman" w:cs="Times New Roman"/>
          <w:spacing w:val="2"/>
        </w:rPr>
        <w:t>-C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至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BL</w:t>
      </w:r>
      <w:r>
        <w:rPr>
          <w:rFonts w:ascii="Times New Roman" w:hAnsi="Times New Roman" w:eastAsia="Times New Roman" w:cs="Times New Roman"/>
          <w:spacing w:val="2"/>
        </w:rPr>
        <w:t>+C</w:t>
      </w:r>
      <w:r>
        <w:rPr>
          <w:spacing w:val="2"/>
        </w:rPr>
        <w:t>（含）</w:t>
      </w:r>
      <w:r>
        <w:rPr>
          <w:rFonts w:ascii="Times New Roman" w:hAnsi="Times New Roman" w:eastAsia="Times New Roman" w:cs="Times New Roman"/>
          <w:spacing w:val="2"/>
        </w:rPr>
        <w:t>]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、低</w:t>
      </w: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rFonts w:ascii="Times New Roman" w:hAnsi="Times New Roman" w:eastAsia="Times New Roman" w:cs="Times New Roman"/>
        </w:rPr>
        <w:t>BL</w:t>
      </w:r>
      <w:r>
        <w:rPr>
          <w:rFonts w:ascii="Times New Roman" w:hAnsi="Times New Roman" w:eastAsia="Times New Roman" w:cs="Times New Roman"/>
          <w:spacing w:val="2"/>
        </w:rPr>
        <w:t>+C</w:t>
      </w:r>
      <w:r>
        <w:rPr>
          <w:spacing w:val="6"/>
        </w:rPr>
        <w:t>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BL</w:t>
      </w:r>
      <w:r>
        <w:rPr>
          <w:spacing w:val="6"/>
        </w:rPr>
        <w:t>（含）</w:t>
      </w:r>
      <w:r>
        <w:rPr>
          <w:rFonts w:ascii="Times New Roman" w:hAnsi="Times New Roman" w:eastAsia="Times New Roman" w:cs="Times New Roman"/>
          <w:spacing w:val="6"/>
        </w:rPr>
        <w:t>]</w:t>
      </w:r>
      <w:r>
        <w:rPr>
          <w:spacing w:val="6"/>
        </w:rPr>
        <w:t>三个区间，随后在每个区间内随机分别抽取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M1</w:t>
      </w:r>
      <w:r>
        <w:rPr>
          <w:spacing w:val="6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M2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M3 </w:t>
      </w:r>
      <w:r>
        <w:rPr>
          <w:spacing w:val="3"/>
        </w:rPr>
        <w:t>个投标人；</w:t>
      </w:r>
    </w:p>
    <w:p>
      <w:pPr>
        <w:pStyle w:val="BodyText"/>
        <w:ind w:left="18" w:right="97" w:firstLine="634"/>
        <w:spacing w:before="39" w:line="393" w:lineRule="auto"/>
        <w:jc w:val="both"/>
        <w:rPr/>
      </w:pPr>
      <w:r>
        <w:rPr>
          <w:spacing w:val="9"/>
        </w:rPr>
        <w:t>存在价格抽取方式产生的入围评审区间投标人数量不足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N</w:t>
      </w:r>
      <w:r>
        <w:rPr>
          <w:spacing w:val="8"/>
        </w:rPr>
        <w:t>个的，在中区间依次抽取递补（若中区间投标人不足递补，则</w:t>
      </w:r>
      <w:r>
        <w:rPr>
          <w:spacing w:val="8"/>
        </w:rPr>
        <w:t>中区间投标人全部进入，并在低区间继续依次抽取递补；若低</w:t>
      </w:r>
      <w:r>
        <w:rPr>
          <w:spacing w:val="8"/>
        </w:rPr>
        <w:t>区间投标人仍不足递补，则在高区间继续依次抽取递补</w:t>
      </w:r>
      <w:r>
        <w:rPr>
          <w:spacing w:val="14"/>
        </w:rPr>
        <w:t>），</w:t>
      </w:r>
      <w:r>
        <w:rPr>
          <w:spacing w:val="8"/>
        </w:rPr>
        <w:t>直</w:t>
      </w:r>
    </w:p>
    <w:p>
      <w:pPr>
        <w:spacing w:line="393" w:lineRule="auto"/>
        <w:sectPr>
          <w:footerReference w:type="default" r:id="rId8"/>
          <w:pgSz w:w="11906" w:h="16839"/>
          <w:pgMar w:top="1431" w:right="1548" w:bottom="1155" w:left="1640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1" w:line="222" w:lineRule="auto"/>
        <w:rPr/>
      </w:pPr>
      <w:r>
        <w:rPr>
          <w:spacing w:val="11"/>
        </w:rPr>
        <w:t>至入围评审区间的投标人达到</w:t>
      </w:r>
      <w:r>
        <w:rPr>
          <w:rFonts w:ascii="Times New Roman" w:hAnsi="Times New Roman" w:eastAsia="Times New Roman" w:cs="Times New Roman"/>
          <w:spacing w:val="11"/>
        </w:rPr>
        <w:t>N </w:t>
      </w:r>
      <w:r>
        <w:rPr>
          <w:spacing w:val="11"/>
        </w:rPr>
        <w:t>个；</w:t>
      </w:r>
    </w:p>
    <w:p>
      <w:pPr>
        <w:pStyle w:val="BodyText"/>
        <w:ind w:firstLine="656"/>
        <w:spacing w:before="226" w:line="388" w:lineRule="auto"/>
        <w:rPr/>
      </w:pPr>
      <w:r>
        <w:rPr>
          <w:rFonts w:ascii="Times New Roman" w:hAnsi="Times New Roman" w:eastAsia="Times New Roman" w:cs="Times New Roman"/>
          <w:spacing w:val="5"/>
        </w:rPr>
        <w:t>C=</w:t>
      </w:r>
      <w:r>
        <w:rPr>
          <w:spacing w:val="5"/>
        </w:rPr>
        <w:t>（最高报价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BH</w:t>
      </w:r>
      <w:r>
        <w:rPr>
          <w:rFonts w:ascii="Times New Roman" w:hAnsi="Times New Roman" w:eastAsia="Times New Roman" w:cs="Times New Roman"/>
          <w:spacing w:val="5"/>
        </w:rPr>
        <w:t>-</w:t>
      </w:r>
      <w:r>
        <w:rPr>
          <w:spacing w:val="5"/>
        </w:rPr>
        <w:t>最低报价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BL</w:t>
      </w:r>
      <w:r>
        <w:rPr>
          <w:spacing w:val="5"/>
        </w:rPr>
        <w:t>）</w:t>
      </w:r>
      <w:r>
        <w:rPr>
          <w:rFonts w:ascii="Times New Roman" w:hAnsi="Times New Roman" w:eastAsia="Times New Roman" w:cs="Times New Roman"/>
          <w:spacing w:val="5"/>
        </w:rPr>
        <w:t>/3</w:t>
      </w:r>
      <w:r>
        <w:rPr>
          <w:spacing w:val="5"/>
        </w:rPr>
        <w:t>，直接选用该</w:t>
      </w:r>
      <w:r>
        <w:rPr>
          <w:spacing w:val="4"/>
        </w:rPr>
        <w:t>方式时，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N=20</w:t>
      </w:r>
      <w:r>
        <w:rPr>
          <w:spacing w:val="8"/>
        </w:rPr>
        <w:t>；去高去低后不足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 </w:t>
      </w:r>
      <w:r>
        <w:rPr>
          <w:spacing w:val="8"/>
        </w:rPr>
        <w:t>家的，不再另行递</w:t>
      </w:r>
      <w:r>
        <w:rPr>
          <w:spacing w:val="7"/>
        </w:rPr>
        <w:t>补；</w:t>
      </w:r>
    </w:p>
    <w:p>
      <w:pPr>
        <w:pStyle w:val="BodyText"/>
        <w:ind w:left="9" w:right="83" w:firstLine="657"/>
        <w:spacing w:before="19" w:line="388" w:lineRule="auto"/>
        <w:rPr/>
      </w:pPr>
      <w:r>
        <w:rPr>
          <w:spacing w:val="3"/>
        </w:rPr>
        <w:t>如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N=3M3 </w:t>
      </w:r>
      <w:r>
        <w:rPr>
          <w:spacing w:val="3"/>
        </w:rPr>
        <w:t>，</w:t>
      </w:r>
      <w:r>
        <w:rPr>
          <w:spacing w:val="-39"/>
        </w:rPr>
        <w:t xml:space="preserve"> </w:t>
      </w:r>
      <w:r>
        <w:rPr>
          <w:spacing w:val="3"/>
        </w:rPr>
        <w:t>则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M1=M2=M3=N/3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3"/>
        </w:rPr>
        <w:t>；</w:t>
      </w:r>
      <w:r>
        <w:rPr>
          <w:spacing w:val="-26"/>
        </w:rPr>
        <w:t xml:space="preserve"> </w:t>
      </w:r>
      <w:r>
        <w:rPr>
          <w:spacing w:val="3"/>
        </w:rPr>
        <w:t>如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N=3</w:t>
      </w:r>
      <w:r>
        <w:rPr>
          <w:rFonts w:ascii="Times New Roman" w:hAnsi="Times New Roman" w:eastAsia="Times New Roman" w:cs="Times New Roman"/>
          <w:spacing w:val="2"/>
        </w:rPr>
        <w:t>M3+1 </w:t>
      </w:r>
      <w:r>
        <w:rPr>
          <w:spacing w:val="2"/>
        </w:rPr>
        <w:t>，</w:t>
      </w:r>
      <w:r>
        <w:rPr>
          <w:spacing w:val="-38"/>
        </w:rPr>
        <w:t xml:space="preserve"> </w:t>
      </w:r>
      <w:r>
        <w:rPr>
          <w:spacing w:val="2"/>
        </w:rPr>
        <w:t>则</w:t>
      </w:r>
      <w:r>
        <w:rPr>
          <w:rFonts w:ascii="Times New Roman" w:hAnsi="Times New Roman" w:eastAsia="Times New Roman" w:cs="Times New Roman"/>
          <w:spacing w:val="6"/>
        </w:rPr>
        <w:t>M2=M3+1</w:t>
      </w:r>
      <w:r>
        <w:rPr>
          <w:spacing w:val="6"/>
        </w:rPr>
        <w:t>，</w:t>
      </w:r>
      <w:r>
        <w:rPr>
          <w:rFonts w:ascii="Times New Roman" w:hAnsi="Times New Roman" w:eastAsia="Times New Roman" w:cs="Times New Roman"/>
          <w:spacing w:val="6"/>
        </w:rPr>
        <w:t>M1=M3</w:t>
      </w:r>
      <w:r>
        <w:rPr>
          <w:spacing w:val="6"/>
        </w:rPr>
        <w:t>；如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N=3M3-1</w:t>
      </w:r>
      <w:r>
        <w:rPr>
          <w:spacing w:val="6"/>
        </w:rPr>
        <w:t>，则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M2=M3</w:t>
      </w:r>
      <w:r>
        <w:rPr>
          <w:spacing w:val="6"/>
        </w:rPr>
        <w:t>，</w:t>
      </w:r>
      <w:r>
        <w:rPr>
          <w:rFonts w:ascii="Times New Roman" w:hAnsi="Times New Roman" w:eastAsia="Times New Roman" w:cs="Times New Roman"/>
          <w:spacing w:val="6"/>
        </w:rPr>
        <w:t>M1=M3-1</w:t>
      </w:r>
      <w:r>
        <w:rPr>
          <w:spacing w:val="6"/>
        </w:rPr>
        <w:t>。</w:t>
      </w:r>
    </w:p>
    <w:p>
      <w:pPr>
        <w:ind w:left="663"/>
        <w:spacing w:before="73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方法四（信用抽取法）</w:t>
      </w:r>
    </w:p>
    <w:p>
      <w:pPr>
        <w:pStyle w:val="BodyText"/>
        <w:ind w:left="8" w:right="34" w:firstLine="658"/>
        <w:spacing w:before="287" w:line="393" w:lineRule="auto"/>
        <w:rPr/>
      </w:pPr>
      <w:r>
        <w:rPr>
          <w:spacing w:val="8"/>
        </w:rPr>
        <w:t>开标时，按照投标人（联合体投标的，以联合体牵头人为</w:t>
      </w:r>
      <w:r>
        <w:rPr>
          <w:spacing w:val="9"/>
        </w:rPr>
        <w:t>准；跨行业组成联合体的，以承担本行业工作任务较多的</w:t>
      </w:r>
      <w:r>
        <w:rPr>
          <w:spacing w:val="8"/>
        </w:rPr>
        <w:t>施工</w:t>
      </w:r>
      <w:r>
        <w:rPr>
          <w:spacing w:val="9"/>
        </w:rPr>
        <w:t>企业的信用为准；如项目同时涉及房建和市政两项工</w:t>
      </w:r>
      <w:r>
        <w:rPr>
          <w:spacing w:val="8"/>
        </w:rPr>
        <w:t>作，联合</w:t>
      </w:r>
      <w:r>
        <w:rPr>
          <w:spacing w:val="6"/>
        </w:rPr>
        <w:t>体投标的，以联合体牵头人为准，独立投标的，</w:t>
      </w:r>
      <w:r>
        <w:rPr>
          <w:spacing w:val="-75"/>
        </w:rPr>
        <w:t xml:space="preserve"> </w:t>
      </w:r>
      <w:r>
        <w:rPr>
          <w:spacing w:val="6"/>
        </w:rPr>
        <w:t>以项目所涉的</w:t>
      </w:r>
      <w:r>
        <w:rPr>
          <w:spacing w:val="9"/>
        </w:rPr>
        <w:t>主要工作项所对应的企业信用为准，由招标人在编制</w:t>
      </w:r>
      <w:r>
        <w:rPr>
          <w:spacing w:val="8"/>
        </w:rPr>
        <w:t>招标文件</w:t>
      </w:r>
      <w:r>
        <w:rPr>
          <w:spacing w:val="9"/>
        </w:rPr>
        <w:t>时视项目具体情况选择房建或市政之一作为主要工作</w:t>
      </w:r>
      <w:r>
        <w:rPr>
          <w:spacing w:val="8"/>
        </w:rPr>
        <w:t>项）信用</w:t>
      </w:r>
      <w:r>
        <w:rPr>
          <w:spacing w:val="6"/>
        </w:rPr>
        <w:t>评价等级分为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6"/>
        </w:rPr>
        <w:t>级、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级和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</w:rPr>
        <w:t>CDE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级三类，分别随机抽取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M1</w:t>
      </w:r>
      <w:r>
        <w:rPr>
          <w:spacing w:val="6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9"/>
        </w:rPr>
        <w:t>M2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9"/>
        </w:rPr>
        <w:t>、</w:t>
      </w:r>
      <w:r>
        <w:rPr>
          <w:rFonts w:ascii="Times New Roman" w:hAnsi="Times New Roman" w:eastAsia="Times New Roman" w:cs="Times New Roman"/>
          <w:spacing w:val="9"/>
        </w:rPr>
        <w:t>M3</w:t>
      </w:r>
      <w:r>
        <w:rPr>
          <w:spacing w:val="9"/>
        </w:rPr>
        <w:t>（投标价低于风险控制价或高于最高投标限价的投标</w:t>
      </w:r>
      <w:r>
        <w:rPr>
          <w:spacing w:val="6"/>
        </w:rPr>
        <w:t>人不计入）。当按此法抽取产生的投标人数量不足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N </w:t>
      </w:r>
      <w:r>
        <w:rPr>
          <w:spacing w:val="6"/>
        </w:rPr>
        <w:t>个时，首</w:t>
      </w:r>
      <w:r>
        <w:rPr>
          <w:spacing w:val="12"/>
        </w:rPr>
        <w:t>先在信用评价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A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2"/>
        </w:rPr>
        <w:t>级单位中抽取递补；若信用评价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A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12"/>
        </w:rPr>
        <w:t>级单位不</w:t>
      </w:r>
      <w:r>
        <w:rPr>
          <w:spacing w:val="1"/>
        </w:rPr>
        <w:t>足递补，则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A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"/>
        </w:rPr>
        <w:t>级单位全部递补，并在信用评价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级单位中继续</w:t>
      </w:r>
      <w:r>
        <w:rPr>
          <w:spacing w:val="2"/>
        </w:rPr>
        <w:t>依次抽取递补；若信用评价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2"/>
        </w:rPr>
        <w:t>级单位仍不足递补，由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2"/>
        </w:rPr>
        <w:t>级单位</w:t>
      </w:r>
      <w:r>
        <w:rPr>
          <w:spacing w:val="15"/>
        </w:rPr>
        <w:t>全部递补，并在信用评价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</w:rPr>
        <w:t>CDE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15"/>
        </w:rPr>
        <w:t>级单位中继续依次抽取递补，</w:t>
      </w:r>
      <w:r>
        <w:rPr>
          <w:spacing w:val="18"/>
        </w:rPr>
        <w:t>直至入围评审区间的投标人数量达到</w:t>
      </w:r>
      <w:r>
        <w:rPr>
          <w:rFonts w:ascii="Times New Roman" w:hAnsi="Times New Roman" w:eastAsia="Times New Roman" w:cs="Times New Roman"/>
          <w:spacing w:val="18"/>
        </w:rPr>
        <w:t>N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8"/>
        </w:rPr>
        <w:t>个。</w:t>
      </w:r>
      <w:r>
        <w:rPr>
          <w:spacing w:val="-90"/>
        </w:rPr>
        <w:t xml:space="preserve"> </w:t>
      </w:r>
      <w:r>
        <w:rPr>
          <w:spacing w:val="18"/>
        </w:rPr>
        <w:t>直接选用该方式</w:t>
      </w:r>
    </w:p>
    <w:p>
      <w:pPr>
        <w:spacing w:line="393" w:lineRule="auto"/>
        <w:sectPr>
          <w:footerReference w:type="default" r:id="rId9"/>
          <w:pgSz w:w="11906" w:h="16839"/>
          <w:pgMar w:top="1431" w:right="1562" w:bottom="1157" w:left="1640" w:header="0" w:footer="992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38"/>
        <w:spacing w:before="101" w:line="429" w:lineRule="exact"/>
        <w:rPr/>
      </w:pPr>
      <w:r>
        <w:rPr>
          <w:position w:val="2"/>
        </w:rPr>
        <w:t>时，</w:t>
      </w:r>
      <w:r>
        <w:rPr>
          <w:rFonts w:ascii="Times New Roman" w:hAnsi="Times New Roman" w:eastAsia="Times New Roman" w:cs="Times New Roman"/>
          <w:position w:val="2"/>
        </w:rPr>
        <w:t>N=20</w:t>
      </w:r>
      <w:r>
        <w:rPr>
          <w:position w:val="2"/>
        </w:rPr>
        <w:t>。</w:t>
      </w:r>
    </w:p>
    <w:p>
      <w:pPr>
        <w:pStyle w:val="BodyText"/>
        <w:ind w:left="655" w:right="378" w:hanging="13"/>
        <w:spacing w:before="232" w:line="381" w:lineRule="auto"/>
        <w:rPr>
          <w:rFonts w:ascii="KaiTi" w:hAnsi="KaiTi" w:eastAsia="KaiTi" w:cs="KaiTi"/>
        </w:rPr>
      </w:pPr>
      <w:r>
        <w:rPr>
          <w:rFonts w:ascii="Times New Roman" w:hAnsi="Times New Roman" w:eastAsia="Times New Roman" w:cs="Times New Roman"/>
          <w:spacing w:val="2"/>
        </w:rPr>
        <w:t>M1=0.6N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M2=0.3N</w:t>
      </w:r>
      <w:r>
        <w:rPr>
          <w:spacing w:val="2"/>
        </w:rPr>
        <w:t>，</w:t>
      </w:r>
      <w:r>
        <w:rPr>
          <w:spacing w:val="-93"/>
        </w:rPr>
        <w:t xml:space="preserve"> </w:t>
      </w:r>
      <w:r>
        <w:rPr>
          <w:spacing w:val="2"/>
        </w:rPr>
        <w:t>四舍五入</w:t>
      </w:r>
      <w:r>
        <w:rPr>
          <w:spacing w:val="1"/>
        </w:rPr>
        <w:t>取整，</w:t>
      </w:r>
      <w:r>
        <w:rPr>
          <w:rFonts w:ascii="Times New Roman" w:hAnsi="Times New Roman" w:eastAsia="Times New Roman" w:cs="Times New Roman"/>
          <w:spacing w:val="1"/>
        </w:rPr>
        <w:t>M3=N-M1-M2</w:t>
      </w:r>
      <w:r>
        <w:rPr>
          <w:spacing w:val="1"/>
        </w:rPr>
        <w:t>。</w:t>
      </w:r>
      <w:r>
        <w:rPr>
          <w:rFonts w:ascii="KaiTi" w:hAnsi="KaiTi" w:eastAsia="KaiTi" w:cs="KaiTi"/>
          <w:b/>
          <w:bCs/>
          <w:spacing w:val="5"/>
        </w:rPr>
        <w:t>方法五（组合入评法）</w:t>
      </w:r>
    </w:p>
    <w:p>
      <w:pPr>
        <w:pStyle w:val="BodyText"/>
        <w:ind w:left="4" w:right="2" w:firstLine="688"/>
        <w:spacing w:before="38" w:line="399" w:lineRule="auto"/>
        <w:jc w:val="both"/>
        <w:rPr/>
      </w:pPr>
      <w:r>
        <w:rPr>
          <w:spacing w:val="3"/>
        </w:rPr>
        <w:t>由招标人开标前确定</w:t>
      </w:r>
      <w:r>
        <w:rPr>
          <w:rFonts w:ascii="Times New Roman" w:hAnsi="Times New Roman" w:eastAsia="Times New Roman" w:cs="Times New Roman"/>
          <w:spacing w:val="3"/>
        </w:rPr>
        <w:t>N1=3</w:t>
      </w:r>
      <w:r>
        <w:rPr>
          <w:spacing w:val="3"/>
        </w:rPr>
        <w:t>家开标时公布（投标价低于</w:t>
      </w:r>
      <w:r>
        <w:rPr>
          <w:spacing w:val="2"/>
        </w:rPr>
        <w:t>风险</w:t>
      </w:r>
      <w:r>
        <w:rPr>
          <w:spacing w:val="9"/>
        </w:rPr>
        <w:t>控制价或高于最高投标限价的投标人不计入，</w:t>
      </w:r>
      <w:r>
        <w:rPr>
          <w:spacing w:val="8"/>
        </w:rPr>
        <w:t>招标人确定的投</w:t>
      </w:r>
      <w:r>
        <w:rPr>
          <w:spacing w:val="9"/>
        </w:rPr>
        <w:t>标人未参加投标或报价未计入的，不再由招标</w:t>
      </w:r>
      <w:r>
        <w:rPr>
          <w:spacing w:val="8"/>
        </w:rPr>
        <w:t>人补充推荐，不</w:t>
      </w:r>
      <w:r>
        <w:rPr>
          <w:spacing w:val="9"/>
        </w:rPr>
        <w:t>足数量按照组合方式另外补足</w:t>
      </w:r>
      <w:r>
        <w:rPr>
          <w:spacing w:val="32"/>
        </w:rPr>
        <w:t>），</w:t>
      </w:r>
      <w:r>
        <w:rPr>
          <w:spacing w:val="9"/>
        </w:rPr>
        <w:t>另外</w:t>
      </w:r>
      <w:r>
        <w:rPr>
          <w:rFonts w:ascii="Times New Roman" w:hAnsi="Times New Roman" w:eastAsia="Times New Roman" w:cs="Times New Roman"/>
          <w:spacing w:val="9"/>
        </w:rPr>
        <w:t>N2≥17</w:t>
      </w:r>
      <w:r>
        <w:rPr>
          <w:spacing w:val="9"/>
        </w:rPr>
        <w:t>家，同时与方法</w:t>
      </w:r>
      <w:r>
        <w:rPr>
          <w:spacing w:val="9"/>
        </w:rPr>
        <w:t>一～方法四中的一种组合，确定剩余的入评投标人。</w:t>
      </w:r>
    </w:p>
    <w:p>
      <w:pPr>
        <w:ind w:left="655"/>
        <w:spacing w:before="9" w:line="21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方法六（最低投标价入评法）</w:t>
      </w:r>
    </w:p>
    <w:p>
      <w:pPr>
        <w:pStyle w:val="BodyText"/>
        <w:ind w:left="33" w:right="2" w:firstLine="625"/>
        <w:spacing w:before="294" w:line="393" w:lineRule="auto"/>
        <w:rPr/>
      </w:pPr>
      <w:r>
        <w:rPr>
          <w:spacing w:val="8"/>
        </w:rPr>
        <w:t>开标时按照投标报价从低到高直接确定</w:t>
      </w:r>
      <w:r>
        <w:rPr>
          <w:rFonts w:ascii="Times New Roman" w:hAnsi="Times New Roman" w:eastAsia="Times New Roman" w:cs="Times New Roman"/>
          <w:spacing w:val="8"/>
        </w:rPr>
        <w:t>20</w:t>
      </w:r>
      <w:r>
        <w:rPr>
          <w:spacing w:val="7"/>
        </w:rPr>
        <w:t>家（价格低于风</w:t>
      </w:r>
      <w:r>
        <w:rPr>
          <w:spacing w:val="7"/>
        </w:rPr>
        <w:t>险控制价的除外，如确定第</w:t>
      </w:r>
      <w:r>
        <w:rPr>
          <w:rFonts w:ascii="Times New Roman" w:hAnsi="Times New Roman" w:eastAsia="Times New Roman" w:cs="Times New Roman"/>
          <w:spacing w:val="7"/>
        </w:rPr>
        <w:t>20</w:t>
      </w:r>
      <w:r>
        <w:rPr>
          <w:spacing w:val="7"/>
        </w:rPr>
        <w:t>家时出现投标报价相同的，应从</w:t>
      </w:r>
      <w:r>
        <w:rPr>
          <w:spacing w:val="7"/>
        </w:rPr>
        <w:t>中随机抽取确定入评单位，确保数量为</w:t>
      </w:r>
      <w:r>
        <w:rPr>
          <w:rFonts w:ascii="Times New Roman" w:hAnsi="Times New Roman" w:eastAsia="Times New Roman" w:cs="Times New Roman"/>
          <w:spacing w:val="7"/>
        </w:rPr>
        <w:t>20</w:t>
      </w:r>
      <w:r>
        <w:rPr>
          <w:spacing w:val="7"/>
        </w:rPr>
        <w:t>家）投标人进入评审</w:t>
      </w:r>
      <w:r>
        <w:rPr>
          <w:spacing w:val="-7"/>
        </w:rPr>
        <w:t>区间。</w:t>
      </w:r>
    </w:p>
    <w:p>
      <w:pPr>
        <w:pStyle w:val="BodyText"/>
        <w:ind w:firstLine="641"/>
        <w:spacing w:before="7" w:line="392" w:lineRule="auto"/>
        <w:jc w:val="both"/>
        <w:rPr/>
      </w:pPr>
      <w:r>
        <w:rPr>
          <w:spacing w:val="6"/>
        </w:rPr>
        <w:t>（</w:t>
      </w:r>
      <w:r>
        <w:rPr>
          <w:spacing w:val="-84"/>
        </w:rPr>
        <w:t xml:space="preserve"> </w:t>
      </w:r>
      <w:r>
        <w:rPr>
          <w:spacing w:val="6"/>
        </w:rPr>
        <w:t>五）经评标委员会后续评审，技术标明标项目（技术标</w:t>
      </w:r>
      <w:r>
        <w:rPr>
          <w:spacing w:val="9"/>
        </w:rPr>
        <w:t>暗标项目不递补）如出现因否决投标导致有效投标人数</w:t>
      </w:r>
      <w:r>
        <w:rPr>
          <w:spacing w:val="8"/>
        </w:rPr>
        <w:t>量不能</w:t>
      </w:r>
      <w:r>
        <w:rPr>
          <w:spacing w:val="8"/>
        </w:rPr>
        <w:t>满足推荐中标候选人数量要求时，继续按照上述规则补足</w:t>
      </w:r>
      <w:r>
        <w:rPr>
          <w:rFonts w:ascii="Times New Roman" w:hAnsi="Times New Roman" w:eastAsia="Times New Roman" w:cs="Times New Roman"/>
          <w:spacing w:val="8"/>
        </w:rPr>
        <w:t>20</w:t>
      </w:r>
      <w:r>
        <w:rPr>
          <w:spacing w:val="8"/>
        </w:rPr>
        <w:t>家</w:t>
      </w:r>
      <w:r>
        <w:rPr>
          <w:spacing w:val="9"/>
        </w:rPr>
        <w:t>（不足</w:t>
      </w:r>
      <w:r>
        <w:rPr>
          <w:rFonts w:ascii="Times New Roman" w:hAnsi="Times New Roman" w:eastAsia="Times New Roman" w:cs="Times New Roman"/>
          <w:spacing w:val="9"/>
        </w:rPr>
        <w:t>20</w:t>
      </w:r>
      <w:r>
        <w:rPr>
          <w:spacing w:val="9"/>
        </w:rPr>
        <w:t>家的则全部进入）进入评审区间</w:t>
      </w:r>
      <w:r>
        <w:rPr>
          <w:spacing w:val="8"/>
        </w:rPr>
        <w:t>。除此之外，其他情</w:t>
      </w:r>
      <w:r>
        <w:rPr>
          <w:spacing w:val="7"/>
        </w:rPr>
        <w:t>形将不作递补。</w:t>
      </w:r>
    </w:p>
    <w:p>
      <w:pPr>
        <w:ind w:left="655"/>
        <w:spacing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三、商务标评审</w:t>
      </w:r>
    </w:p>
    <w:p>
      <w:pPr>
        <w:pStyle w:val="BodyText"/>
        <w:spacing w:before="282" w:line="221" w:lineRule="auto"/>
        <w:jc w:val="right"/>
        <w:rPr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一）商务标评审是对投标文件中工程量清单的范围、数</w:t>
      </w:r>
    </w:p>
    <w:p>
      <w:pPr>
        <w:spacing w:line="221" w:lineRule="auto"/>
        <w:sectPr>
          <w:footerReference w:type="default" r:id="rId10"/>
          <w:pgSz w:w="11906" w:h="16839"/>
          <w:pgMar w:top="1431" w:right="1643" w:bottom="1157" w:left="1647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00" w:line="221" w:lineRule="auto"/>
        <w:rPr/>
      </w:pPr>
      <w:r>
        <w:rPr>
          <w:spacing w:val="8"/>
        </w:rPr>
        <w:t>量、报价进行全面审核和对比分析。</w:t>
      </w:r>
    </w:p>
    <w:p>
      <w:pPr>
        <w:pStyle w:val="BodyText"/>
        <w:ind w:right="2" w:firstLine="648"/>
        <w:spacing w:before="289" w:line="393" w:lineRule="auto"/>
        <w:jc w:val="both"/>
        <w:rPr/>
      </w:pPr>
      <w:r>
        <w:rPr>
          <w:spacing w:val="8"/>
        </w:rPr>
        <w:t>投标人存在《浙江省房屋建筑和市政基础设施施工招标文</w:t>
      </w:r>
      <w:r>
        <w:rPr>
          <w:spacing w:val="1"/>
        </w:rPr>
        <w:t>件示范文本（</w:t>
      </w:r>
      <w:r>
        <w:rPr>
          <w:rFonts w:ascii="Times New Roman" w:hAnsi="Times New Roman" w:eastAsia="Times New Roman" w:cs="Times New Roman"/>
          <w:spacing w:val="1"/>
        </w:rPr>
        <w:t>2024 </w:t>
      </w:r>
      <w:r>
        <w:rPr>
          <w:spacing w:val="1"/>
        </w:rPr>
        <w:t>版）》投标人须知前附表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10.1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情形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/>
        <w:t>（</w:t>
      </w:r>
      <w:r>
        <w:rPr>
          <w:rFonts w:ascii="Times New Roman" w:hAnsi="Times New Roman" w:eastAsia="Times New Roman" w:cs="Times New Roman"/>
        </w:rPr>
        <w:t>4</w:t>
      </w:r>
      <w:r>
        <w:rPr/>
        <w:t>）商</w:t>
      </w:r>
      <w:r>
        <w:rPr>
          <w:spacing w:val="15"/>
        </w:rPr>
        <w:t>务标评审内容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spacing w:val="15"/>
        </w:rPr>
        <w:t>之一的，评标委员会组织投标人询问核实后，</w:t>
      </w:r>
      <w:r>
        <w:rPr>
          <w:spacing w:val="9"/>
        </w:rPr>
        <w:t>情况属实的，商务标评审不予通过，否决其投标。</w:t>
      </w:r>
    </w:p>
    <w:p>
      <w:pPr>
        <w:pStyle w:val="BodyText"/>
        <w:ind w:left="636"/>
        <w:spacing w:line="222" w:lineRule="auto"/>
        <w:rPr/>
      </w:pPr>
      <w:r>
        <w:rPr>
          <w:spacing w:val="-1"/>
        </w:rPr>
        <w:t>（</w:t>
      </w:r>
      <w:r>
        <w:rPr>
          <w:spacing w:val="-75"/>
        </w:rPr>
        <w:t xml:space="preserve"> </w:t>
      </w:r>
      <w:r>
        <w:rPr>
          <w:spacing w:val="-1"/>
        </w:rPr>
        <w:t>二）商务标评分</w:t>
      </w:r>
    </w:p>
    <w:p>
      <w:pPr>
        <w:pStyle w:val="BodyText"/>
        <w:ind w:left="3" w:right="28" w:firstLine="654"/>
        <w:spacing w:before="228" w:line="382" w:lineRule="auto"/>
        <w:rPr/>
      </w:pPr>
      <w:r>
        <w:rPr>
          <w:spacing w:val="5"/>
        </w:rPr>
        <w:t>商务标评分</w:t>
      </w:r>
      <w:r>
        <w:rPr>
          <w:rFonts w:ascii="Times New Roman" w:hAnsi="Times New Roman" w:eastAsia="Times New Roman" w:cs="Times New Roman"/>
          <w:spacing w:val="5"/>
        </w:rPr>
        <w:t>=</w:t>
      </w:r>
      <w:r>
        <w:rPr>
          <w:spacing w:val="5"/>
        </w:rPr>
        <w:t>商务总报价评分</w:t>
      </w:r>
      <w:r>
        <w:rPr>
          <w:rFonts w:ascii="Times New Roman" w:hAnsi="Times New Roman" w:eastAsia="Times New Roman" w:cs="Times New Roman"/>
          <w:spacing w:val="5"/>
        </w:rPr>
        <w:t>+</w:t>
      </w:r>
      <w:r>
        <w:rPr>
          <w:spacing w:val="5"/>
        </w:rPr>
        <w:t>工程量清单综合单价评分；</w:t>
      </w:r>
      <w:r>
        <w:rPr>
          <w:spacing w:val="7"/>
        </w:rPr>
        <w:t>其中，工程量清单综合单价评分</w:t>
      </w:r>
      <w:r>
        <w:rPr>
          <w:rFonts w:ascii="Times New Roman" w:hAnsi="Times New Roman" w:eastAsia="Times New Roman" w:cs="Times New Roman"/>
          <w:spacing w:val="7"/>
        </w:rPr>
        <w:t>≤10 </w:t>
      </w:r>
      <w:r>
        <w:rPr>
          <w:spacing w:val="7"/>
        </w:rPr>
        <w:t>分。</w:t>
      </w:r>
    </w:p>
    <w:p>
      <w:pPr>
        <w:pStyle w:val="BodyText"/>
        <w:ind w:left="653"/>
        <w:spacing w:before="96" w:line="222" w:lineRule="auto"/>
        <w:outlineLvl w:val="3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1.</w:t>
      </w:r>
      <w:r>
        <w:rPr>
          <w:b/>
          <w:bCs/>
          <w:spacing w:val="4"/>
        </w:rPr>
        <w:t>商务总报价评分</w:t>
      </w:r>
    </w:p>
    <w:p>
      <w:pPr>
        <w:pStyle w:val="BodyText"/>
        <w:ind w:left="1" w:right="1" w:firstLine="647"/>
        <w:spacing w:before="287" w:line="393" w:lineRule="auto"/>
        <w:jc w:val="both"/>
        <w:rPr/>
      </w:pPr>
      <w:r>
        <w:rPr>
          <w:spacing w:val="8"/>
        </w:rPr>
        <w:t>投标报价等于评标基准价时，商务总报价评分为满分；投</w:t>
      </w:r>
      <w:r>
        <w:rPr>
          <w:spacing w:val="5"/>
        </w:rPr>
        <w:t>标报价分值按以下几种方式之一计算（</w:t>
      </w:r>
      <w:r>
        <w:rPr>
          <w:spacing w:val="-56"/>
        </w:rPr>
        <w:t xml:space="preserve"> </w:t>
      </w:r>
      <w:r>
        <w:rPr>
          <w:spacing w:val="5"/>
        </w:rPr>
        <w:t>由招标人编制招标文件</w:t>
      </w:r>
      <w:r>
        <w:rPr>
          <w:spacing w:val="6"/>
        </w:rPr>
        <w:t>时明确</w:t>
      </w:r>
      <w:r>
        <w:rPr>
          <w:spacing w:val="-78"/>
          <w:w w:val="87"/>
        </w:rPr>
        <w:t>）：（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）每高于评标基准价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1%</w:t>
      </w:r>
      <w:r>
        <w:rPr>
          <w:spacing w:val="6"/>
        </w:rPr>
        <w:t>扣</w:t>
      </w:r>
      <w:r>
        <w:rPr>
          <w:rFonts w:ascii="Times New Roman" w:hAnsi="Times New Roman" w:eastAsia="Times New Roman" w:cs="Times New Roman"/>
          <w:spacing w:val="6"/>
        </w:rPr>
        <w:t>2 </w:t>
      </w:r>
      <w:r>
        <w:rPr>
          <w:spacing w:val="6"/>
        </w:rPr>
        <w:t>分，每低于评标基准</w:t>
      </w:r>
      <w:r>
        <w:rPr>
          <w:spacing w:val="6"/>
        </w:rPr>
        <w:t>价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1%</w:t>
      </w:r>
      <w:r>
        <w:rPr>
          <w:spacing w:val="6"/>
        </w:rPr>
        <w:t>扣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 </w:t>
      </w:r>
      <w:r>
        <w:rPr>
          <w:spacing w:val="6"/>
        </w:rPr>
        <w:t>分</w:t>
      </w:r>
      <w:r>
        <w:rPr>
          <w:spacing w:val="-76"/>
          <w:w w:val="87"/>
        </w:rPr>
        <w:t>；（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）每高于评标基准价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1%</w:t>
      </w:r>
      <w:r>
        <w:rPr>
          <w:spacing w:val="6"/>
        </w:rPr>
        <w:t>扣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1.5 </w:t>
      </w:r>
      <w:r>
        <w:rPr>
          <w:spacing w:val="5"/>
        </w:rPr>
        <w:t>分，每低于评</w:t>
      </w:r>
      <w:r>
        <w:rPr>
          <w:spacing w:val="-3"/>
        </w:rPr>
        <w:t>标基准价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1%</w:t>
      </w:r>
      <w:r>
        <w:rPr>
          <w:spacing w:val="-3"/>
        </w:rPr>
        <w:t>扣</w:t>
      </w:r>
      <w:r>
        <w:rPr>
          <w:spacing w:val="4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 </w:t>
      </w:r>
      <w:r>
        <w:rPr>
          <w:spacing w:val="-3"/>
        </w:rPr>
        <w:t>分</w:t>
      </w:r>
      <w:r>
        <w:rPr>
          <w:spacing w:val="-86"/>
        </w:rPr>
        <w:t>；（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3"/>
        </w:rPr>
        <w:t>）每高于评标基准价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1%</w:t>
      </w:r>
      <w:r>
        <w:rPr>
          <w:spacing w:val="-3"/>
        </w:rPr>
        <w:t>扣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 </w:t>
      </w:r>
      <w:r>
        <w:rPr>
          <w:spacing w:val="-3"/>
        </w:rPr>
        <w:t>分，每低</w:t>
      </w:r>
      <w:r>
        <w:rPr>
          <w:spacing w:val="9"/>
        </w:rPr>
        <w:t>于评标基准价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1%</w:t>
      </w:r>
      <w:r>
        <w:rPr>
          <w:spacing w:val="9"/>
        </w:rPr>
        <w:t>扣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0.5 </w:t>
      </w:r>
      <w:r>
        <w:rPr>
          <w:spacing w:val="9"/>
        </w:rPr>
        <w:t>分</w:t>
      </w:r>
      <w:r>
        <w:rPr>
          <w:spacing w:val="-80"/>
          <w:w w:val="92"/>
        </w:rPr>
        <w:t>；（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）每高于评标基准价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0.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1%</w:t>
      </w:r>
      <w:r>
        <w:rPr>
          <w:spacing w:val="9"/>
        </w:rPr>
        <w:t>扣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5"/>
        </w:rPr>
        <w:t>分，每低于评标基准价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1%</w:t>
      </w:r>
      <w:r>
        <w:rPr>
          <w:spacing w:val="5"/>
        </w:rPr>
        <w:t>扣</w:t>
      </w:r>
      <w:r>
        <w:rPr>
          <w:rFonts w:ascii="Times New Roman" w:hAnsi="Times New Roman" w:eastAsia="Times New Roman" w:cs="Times New Roman"/>
          <w:spacing w:val="5"/>
        </w:rPr>
        <w:t>3 </w:t>
      </w:r>
      <w:r>
        <w:rPr>
          <w:spacing w:val="5"/>
        </w:rPr>
        <w:t>分（仅适用于评标基准价计算</w:t>
      </w:r>
      <w:r>
        <w:rPr>
          <w:spacing w:val="8"/>
        </w:rPr>
        <w:t>方法五）。不足一个百分点时，使用直线插入法计算，结果四</w:t>
      </w:r>
      <w:r>
        <w:rPr>
          <w:spacing w:val="12"/>
        </w:rPr>
        <w:t>舍五入保留两位小数，商务总报价评分最低为</w:t>
      </w:r>
      <w:r>
        <w:rPr>
          <w:rFonts w:ascii="Times New Roman" w:hAnsi="Times New Roman" w:eastAsia="Times New Roman" w:cs="Times New Roman"/>
          <w:spacing w:val="12"/>
        </w:rPr>
        <w:t>0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11"/>
        </w:rPr>
        <w:t>分。</w:t>
      </w:r>
    </w:p>
    <w:p>
      <w:pPr>
        <w:pStyle w:val="BodyText"/>
        <w:ind w:left="3" w:firstLine="640"/>
        <w:spacing w:before="2" w:line="393" w:lineRule="auto"/>
        <w:rPr/>
      </w:pPr>
      <w:r>
        <w:rPr>
          <w:spacing w:val="8"/>
        </w:rPr>
        <w:t>评标基准价计算范围为通过资格审查、初步评审、技术标</w:t>
      </w:r>
      <w:r>
        <w:rPr>
          <w:spacing w:val="8"/>
        </w:rPr>
        <w:t>评审、资信评审及商务标评审的投标人投标报价，且企业信用</w:t>
      </w:r>
    </w:p>
    <w:p>
      <w:pPr>
        <w:spacing w:line="393" w:lineRule="auto"/>
        <w:sectPr>
          <w:footerReference w:type="default" r:id="rId11"/>
          <w:pgSz w:w="11906" w:h="16839"/>
          <w:pgMar w:top="1431" w:right="1643" w:bottom="1157" w:left="1652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right="153" w:firstLine="9"/>
        <w:spacing w:before="101" w:line="393" w:lineRule="auto"/>
        <w:jc w:val="both"/>
        <w:rPr/>
      </w:pPr>
      <w:r>
        <w:rPr>
          <w:spacing w:val="4"/>
        </w:rPr>
        <w:t>评价等级不低于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级或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4"/>
        </w:rPr>
        <w:t>级或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4"/>
        </w:rPr>
        <w:t>级或不设置等级（</w:t>
      </w:r>
      <w:r>
        <w:rPr>
          <w:spacing w:val="-50"/>
        </w:rPr>
        <w:t xml:space="preserve"> </w:t>
      </w:r>
      <w:r>
        <w:rPr>
          <w:spacing w:val="4"/>
        </w:rPr>
        <w:t>由招标人</w:t>
      </w:r>
      <w:r>
        <w:rPr>
          <w:spacing w:val="4"/>
        </w:rPr>
        <w:t>确定其一，最高投标限价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万元以上的项目可选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spacing w:val="1"/>
        </w:rPr>
        <w:t>级或不设置信用，不足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5000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万元的项目可选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"/>
        </w:rPr>
        <w:t>级</w:t>
      </w:r>
      <w:r>
        <w:rPr/>
        <w:t>或不设置</w:t>
      </w:r>
      <w:r>
        <w:rPr>
          <w:spacing w:val="14"/>
        </w:rPr>
        <w:t>信用</w:t>
      </w:r>
      <w:r>
        <w:rPr>
          <w:spacing w:val="-53"/>
        </w:rPr>
        <w:t>），</w:t>
      </w:r>
      <w:r>
        <w:rPr>
          <w:spacing w:val="14"/>
        </w:rPr>
        <w:t>计算范围少于中标候选人数量的则依次降低企</w:t>
      </w:r>
      <w:r>
        <w:rPr>
          <w:spacing w:val="13"/>
        </w:rPr>
        <w:t>业信用</w:t>
      </w:r>
      <w:r>
        <w:rPr>
          <w:spacing w:val="9"/>
        </w:rPr>
        <w:t>评价等级，如仍达不到，则全部计入计算范围。评标基准价计</w:t>
      </w:r>
      <w:r>
        <w:rPr>
          <w:spacing w:val="8"/>
        </w:rPr>
        <w:t>算精度保留到元。</w:t>
      </w:r>
    </w:p>
    <w:p>
      <w:pPr>
        <w:pStyle w:val="BodyText"/>
        <w:ind w:left="655"/>
        <w:spacing w:line="222" w:lineRule="auto"/>
        <w:rPr/>
      </w:pPr>
      <w:r>
        <w:rPr>
          <w:spacing w:val="8"/>
        </w:rPr>
        <w:t>招标人应选用下列适合的方式确定评标基准价：</w:t>
      </w:r>
    </w:p>
    <w:p>
      <w:pPr>
        <w:ind w:left="643"/>
        <w:spacing w:before="285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评标基准价计算方法一（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综合权重法）</w:t>
      </w:r>
    </w:p>
    <w:p>
      <w:pPr>
        <w:pStyle w:val="BodyText"/>
        <w:ind w:left="23" w:firstLine="627"/>
        <w:spacing w:before="230" w:line="398" w:lineRule="auto"/>
        <w:rPr/>
      </w:pPr>
      <w:r>
        <w:rPr>
          <w:spacing w:val="6"/>
        </w:rPr>
        <w:t>评标基准价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=  </w:t>
      </w:r>
      <w:r>
        <w:rPr>
          <w:spacing w:val="6"/>
        </w:rPr>
        <w:t>报价平均值</w:t>
      </w:r>
      <w:r>
        <w:rPr>
          <w:rFonts w:ascii="Times New Roman" w:hAnsi="Times New Roman" w:eastAsia="Times New Roman" w:cs="Times New Roman"/>
          <w:spacing w:val="6"/>
        </w:rPr>
        <w:t>×</w:t>
      </w:r>
      <w:r>
        <w:rPr>
          <w:spacing w:val="6"/>
        </w:rPr>
        <w:t>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1+</w:t>
      </w:r>
      <w:r>
        <w:rPr>
          <w:spacing w:val="6"/>
        </w:rPr>
        <w:t>浮动率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spacing w:val="6"/>
        </w:rPr>
        <w:t>）</w:t>
      </w:r>
      <w:r>
        <w:rPr>
          <w:spacing w:val="-11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×</w:t>
      </w:r>
      <w:r>
        <w:rPr>
          <w:spacing w:val="6"/>
        </w:rPr>
        <w:t>投</w:t>
      </w:r>
      <w:r>
        <w:rPr>
          <w:spacing w:val="5"/>
        </w:rPr>
        <w:t>标价格权</w:t>
      </w:r>
      <w:r>
        <w:rPr>
          <w:spacing w:val="-1"/>
        </w:rPr>
        <w:t>重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 +  </w:t>
      </w:r>
      <w:r>
        <w:rPr>
          <w:spacing w:val="-1"/>
        </w:rPr>
        <w:t>最高投标限价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×</w:t>
      </w:r>
      <w:r>
        <w:rPr>
          <w:spacing w:val="-1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1-1%×</w:t>
      </w:r>
      <w:r>
        <w:rPr>
          <w:spacing w:val="-1"/>
        </w:rPr>
        <w:t>调整系</w:t>
      </w:r>
      <w:r>
        <w:rPr>
          <w:spacing w:val="-2"/>
        </w:rPr>
        <w:t>数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X-0.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1%×</w:t>
      </w:r>
      <w:r>
        <w:rPr>
          <w:spacing w:val="-2"/>
        </w:rPr>
        <w:t>调整系数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Y</w:t>
      </w:r>
      <w:r>
        <w:rPr>
          <w:spacing w:val="-2"/>
        </w:rPr>
        <w:t>）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5"/>
        </w:rPr>
        <w:t>×</w:t>
      </w:r>
      <w:r>
        <w:rPr>
          <w:spacing w:val="-15"/>
        </w:rPr>
        <w:t>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15"/>
        </w:rPr>
        <w:t>－投标价格权重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B</w:t>
      </w:r>
      <w:r>
        <w:rPr>
          <w:spacing w:val="-15"/>
        </w:rPr>
        <w:t>）。</w:t>
      </w:r>
    </w:p>
    <w:p>
      <w:pPr>
        <w:pStyle w:val="BodyText"/>
        <w:ind w:left="12" w:right="153" w:firstLine="648"/>
        <w:spacing w:before="36" w:line="393" w:lineRule="auto"/>
        <w:jc w:val="both"/>
        <w:rPr/>
      </w:pPr>
      <w:r>
        <w:rPr>
          <w:spacing w:val="8"/>
        </w:rPr>
        <w:t>报价平均值：进入计算范围的所有投标人的评标价的算术</w:t>
      </w:r>
      <w:r>
        <w:rPr>
          <w:spacing w:val="10"/>
        </w:rPr>
        <w:t>平均值为报价平均值（投标评标价在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 </w:t>
      </w:r>
      <w:r>
        <w:rPr>
          <w:spacing w:val="10"/>
        </w:rPr>
        <w:t>个至</w:t>
      </w:r>
      <w:r>
        <w:rPr>
          <w:rFonts w:ascii="Times New Roman" w:hAnsi="Times New Roman" w:eastAsia="Times New Roman" w:cs="Times New Roman"/>
          <w:spacing w:val="10"/>
        </w:rPr>
        <w:t>9 </w:t>
      </w:r>
      <w:r>
        <w:rPr>
          <w:spacing w:val="10"/>
        </w:rPr>
        <w:t>个时，去</w:t>
      </w:r>
      <w:r>
        <w:rPr>
          <w:spacing w:val="9"/>
        </w:rPr>
        <w:t>除一个</w:t>
      </w:r>
      <w:r>
        <w:rPr>
          <w:spacing w:val="12"/>
        </w:rPr>
        <w:t>最高价和一个最低价；投标评标价在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10 </w:t>
      </w:r>
      <w:r>
        <w:rPr>
          <w:spacing w:val="12"/>
        </w:rPr>
        <w:t>个及以上时，去除一</w:t>
      </w:r>
      <w:r>
        <w:rPr>
          <w:spacing w:val="5"/>
        </w:rPr>
        <w:t>个最高、次高价和一个最低、次低价；</w:t>
      </w:r>
      <w:r>
        <w:rPr>
          <w:spacing w:val="-89"/>
        </w:rPr>
        <w:t xml:space="preserve"> </w:t>
      </w:r>
      <w:r>
        <w:rPr>
          <w:spacing w:val="5"/>
        </w:rPr>
        <w:t>当投标评标价</w:t>
      </w:r>
      <w:r>
        <w:rPr>
          <w:spacing w:val="4"/>
        </w:rPr>
        <w:t>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家及</w:t>
      </w:r>
      <w:r>
        <w:rPr>
          <w:spacing w:val="2"/>
        </w:rPr>
        <w:t>以下时，则为全部投标评标价的平均值）。</w:t>
      </w:r>
    </w:p>
    <w:p>
      <w:pPr>
        <w:pStyle w:val="BodyText"/>
        <w:ind w:left="19" w:firstLine="640"/>
        <w:spacing w:before="6" w:line="392" w:lineRule="auto"/>
        <w:jc w:val="both"/>
        <w:rPr/>
      </w:pPr>
      <w:r>
        <w:rPr>
          <w:spacing w:val="8"/>
        </w:rPr>
        <w:t>浮动率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spacing w:val="8"/>
        </w:rPr>
        <w:t>：在开标会议上，从一定数值中随机抽取一个值</w:t>
      </w:r>
      <w:r>
        <w:rPr>
          <w:spacing w:val="-1"/>
        </w:rPr>
        <w:t>并除以</w:t>
      </w:r>
      <w:r>
        <w:rPr>
          <w:rFonts w:ascii="Times New Roman" w:hAnsi="Times New Roman" w:eastAsia="Times New Roman" w:cs="Times New Roman"/>
          <w:spacing w:val="-1"/>
        </w:rPr>
        <w:t>100</w:t>
      </w:r>
      <w:r>
        <w:rPr>
          <w:spacing w:val="-1"/>
        </w:rPr>
        <w:t>生成百分数，以此值为准。招标人在</w:t>
      </w:r>
      <w:r>
        <w:rPr>
          <w:rFonts w:ascii="Times New Roman" w:hAnsi="Times New Roman" w:eastAsia="Times New Roman" w:cs="Times New Roman"/>
          <w:spacing w:val="-1"/>
        </w:rPr>
        <w:t>-4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～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（含本数）</w:t>
      </w:r>
      <w:r>
        <w:rPr>
          <w:spacing w:val="4"/>
        </w:rPr>
        <w:t>的范围内设定五个数组成的等差数列（等差值</w:t>
      </w:r>
      <w:r>
        <w:rPr>
          <w:rFonts w:ascii="Times New Roman" w:hAnsi="Times New Roman" w:eastAsia="Times New Roman" w:cs="Times New Roman"/>
          <w:spacing w:val="4"/>
        </w:rPr>
        <w:t>≥0.25</w:t>
      </w:r>
      <w:r>
        <w:rPr>
          <w:spacing w:val="4"/>
        </w:rPr>
        <w:t>，且五个数</w:t>
      </w:r>
      <w:r>
        <w:rPr>
          <w:spacing w:val="6"/>
        </w:rPr>
        <w:t>至少三个＜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spacing w:val="-57"/>
        </w:rPr>
        <w:t>），</w:t>
      </w:r>
      <w:r>
        <w:rPr>
          <w:spacing w:val="6"/>
        </w:rPr>
        <w:t>在编制招标文件时填入。</w:t>
      </w:r>
    </w:p>
    <w:p>
      <w:pPr>
        <w:spacing w:line="392" w:lineRule="auto"/>
        <w:sectPr>
          <w:footerReference w:type="default" r:id="rId12"/>
          <w:pgSz w:w="11906" w:h="16839"/>
          <w:pgMar w:top="1431" w:right="1489" w:bottom="1156" w:left="1646" w:header="0" w:footer="991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75" w:right="65" w:firstLine="633"/>
        <w:spacing w:before="100" w:line="393" w:lineRule="auto"/>
        <w:rPr/>
      </w:pPr>
      <w:r>
        <w:rPr>
          <w:spacing w:val="3"/>
        </w:rPr>
        <w:t>价格权重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B  </w:t>
      </w:r>
      <w:r>
        <w:rPr>
          <w:spacing w:val="3"/>
        </w:rPr>
        <w:t>：在开标会议上从</w:t>
      </w:r>
      <w:r>
        <w:rPr>
          <w:rFonts w:ascii="Times New Roman" w:hAnsi="Times New Roman" w:eastAsia="Times New Roman" w:cs="Times New Roman"/>
          <w:spacing w:val="3"/>
        </w:rPr>
        <w:t>60%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65%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70%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75</w:t>
      </w:r>
      <w:r>
        <w:rPr>
          <w:rFonts w:ascii="Times New Roman" w:hAnsi="Times New Roman" w:eastAsia="Times New Roman" w:cs="Times New Roman"/>
          <w:spacing w:val="2"/>
        </w:rPr>
        <w:t>%</w:t>
      </w:r>
      <w:r>
        <w:rPr>
          <w:spacing w:val="2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4"/>
        </w:rPr>
        <w:t>80%</w:t>
      </w:r>
      <w:r>
        <w:rPr>
          <w:spacing w:val="4"/>
        </w:rPr>
        <w:t>共五个数值中随机抽取，</w:t>
      </w:r>
      <w:r>
        <w:rPr>
          <w:spacing w:val="-75"/>
        </w:rPr>
        <w:t xml:space="preserve"> </w:t>
      </w:r>
      <w:r>
        <w:rPr>
          <w:spacing w:val="4"/>
        </w:rPr>
        <w:t>以抽取值为准。</w:t>
      </w:r>
    </w:p>
    <w:p>
      <w:pPr>
        <w:pStyle w:val="BodyText"/>
        <w:ind w:firstLine="809"/>
        <w:spacing w:line="393" w:lineRule="auto"/>
        <w:jc w:val="both"/>
        <w:rPr/>
      </w:pPr>
      <w:r>
        <w:rPr/>
        <w:t>调整系数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X</w:t>
      </w:r>
      <w:r>
        <w:rPr/>
        <w:t>、</w:t>
      </w:r>
      <w:r>
        <w:rPr>
          <w:rFonts w:ascii="Times New Roman" w:hAnsi="Times New Roman" w:eastAsia="Times New Roman" w:cs="Times New Roman"/>
        </w:rPr>
        <w:t>Y</w:t>
      </w:r>
      <w:r>
        <w:rPr/>
        <w:t>：</w:t>
      </w:r>
      <w:r>
        <w:rPr>
          <w:rFonts w:ascii="Times New Roman" w:hAnsi="Times New Roman" w:eastAsia="Times New Roman" w:cs="Times New Roman"/>
        </w:rPr>
        <w:t>X </w:t>
      </w:r>
      <w:r>
        <w:rPr/>
        <w:t>值由招标人在编制招标文件时从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/>
        <w:t>～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12 </w:t>
      </w:r>
      <w:r>
        <w:rPr>
          <w:spacing w:val="9"/>
        </w:rPr>
        <w:t>（整数）十三个数中确定</w:t>
      </w: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个连续的数值，在开标会议</w:t>
      </w:r>
      <w:r>
        <w:rPr>
          <w:spacing w:val="8"/>
        </w:rPr>
        <w:t>上从中随</w:t>
      </w:r>
      <w:r>
        <w:rPr>
          <w:spacing w:val="8"/>
        </w:rPr>
        <w:t>机抽取，</w:t>
      </w:r>
      <w:r>
        <w:rPr>
          <w:spacing w:val="-88"/>
        </w:rPr>
        <w:t xml:space="preserve"> </w:t>
      </w:r>
      <w:r>
        <w:rPr>
          <w:spacing w:val="8"/>
        </w:rPr>
        <w:t>以抽取值为准；</w:t>
      </w:r>
      <w:r>
        <w:rPr>
          <w:rFonts w:ascii="Times New Roman" w:hAnsi="Times New Roman" w:eastAsia="Times New Roman" w:cs="Times New Roman"/>
          <w:spacing w:val="8"/>
        </w:rPr>
        <w:t>Y </w:t>
      </w:r>
      <w:r>
        <w:rPr>
          <w:spacing w:val="8"/>
        </w:rPr>
        <w:t>值在开标会议上从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7"/>
        </w:rPr>
        <w:t>～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spacing w:val="7"/>
        </w:rPr>
        <w:t>（整数）十</w:t>
      </w:r>
      <w:r>
        <w:rPr>
          <w:spacing w:val="14"/>
        </w:rPr>
        <w:t>个数数字中随机抽取，</w:t>
      </w:r>
      <w:r>
        <w:rPr>
          <w:spacing w:val="-79"/>
        </w:rPr>
        <w:t xml:space="preserve"> </w:t>
      </w:r>
      <w:r>
        <w:rPr>
          <w:spacing w:val="14"/>
        </w:rPr>
        <w:t>以抽取值为准。</w:t>
      </w:r>
    </w:p>
    <w:p>
      <w:pPr>
        <w:pStyle w:val="BodyText"/>
        <w:ind w:left="178" w:right="2" w:firstLine="638"/>
        <w:spacing w:before="1" w:line="392" w:lineRule="auto"/>
        <w:rPr/>
      </w:pPr>
      <w:r>
        <w:rPr>
          <w:spacing w:val="4"/>
        </w:rPr>
        <w:t>上述价格权重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、浮动率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和调整系数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X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Y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4"/>
        </w:rPr>
        <w:t>由招</w:t>
      </w:r>
      <w:r>
        <w:rPr>
          <w:spacing w:val="3"/>
        </w:rPr>
        <w:t>标人在</w:t>
      </w:r>
      <w:r>
        <w:rPr>
          <w:spacing w:val="6"/>
        </w:rPr>
        <w:t>开标时所有商务报价开出后当场分别在设定数值中随机抽取。</w:t>
      </w:r>
    </w:p>
    <w:p>
      <w:pPr>
        <w:ind w:left="802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评标基准价计算方法二（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二次平均法）</w:t>
      </w:r>
    </w:p>
    <w:p>
      <w:pPr>
        <w:pStyle w:val="BodyText"/>
        <w:ind w:left="801"/>
        <w:spacing w:before="292" w:line="222" w:lineRule="auto"/>
        <w:rPr/>
      </w:pPr>
      <w:r>
        <w:rPr>
          <w:spacing w:val="3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）评标价的确定：评标价＝投标函文字报价。</w:t>
      </w:r>
    </w:p>
    <w:p>
      <w:pPr>
        <w:pStyle w:val="BodyText"/>
        <w:ind w:left="182" w:right="2" w:firstLine="619"/>
        <w:spacing w:before="289" w:line="350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）报价平均值：进入计算范围的所有投标人的评标价</w:t>
      </w:r>
      <w:r>
        <w:rPr>
          <w:spacing w:val="9"/>
        </w:rPr>
        <w:t>的算术平均值为报价平均值（投标评标价在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 </w:t>
      </w:r>
      <w:r>
        <w:rPr>
          <w:spacing w:val="9"/>
        </w:rPr>
        <w:t>个至</w:t>
      </w:r>
      <w:r>
        <w:rPr>
          <w:rFonts w:ascii="Times New Roman" w:hAnsi="Times New Roman" w:eastAsia="Times New Roman" w:cs="Times New Roman"/>
          <w:spacing w:val="9"/>
        </w:rPr>
        <w:t>9 </w:t>
      </w:r>
      <w:r>
        <w:rPr>
          <w:spacing w:val="9"/>
        </w:rPr>
        <w:t>个时，去</w:t>
      </w:r>
      <w:r>
        <w:rPr>
          <w:spacing w:val="12"/>
        </w:rPr>
        <w:t>除一个最高价和一个最低价；投标评标价在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10 </w:t>
      </w:r>
      <w:r>
        <w:rPr>
          <w:spacing w:val="11"/>
        </w:rPr>
        <w:t>个及以上时，</w:t>
      </w:r>
      <w:r>
        <w:rPr>
          <w:spacing w:val="2"/>
        </w:rPr>
        <w:t>去除一个最高、次高价和一个最低、次低价）。</w:t>
      </w:r>
    </w:p>
    <w:p>
      <w:pPr>
        <w:pStyle w:val="BodyText"/>
        <w:ind w:left="166" w:right="2" w:firstLine="635"/>
        <w:spacing w:before="286" w:line="336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）评标基准价：报价平均值与进入评分范围的投标评</w:t>
      </w:r>
      <w:r>
        <w:rPr>
          <w:spacing w:val="8"/>
        </w:rPr>
        <w:t>标价中的次低投标评标价（不足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 </w:t>
      </w:r>
      <w:r>
        <w:rPr>
          <w:spacing w:val="8"/>
        </w:rPr>
        <w:t>个的与最低投标评标价）的</w:t>
      </w:r>
      <w:r>
        <w:rPr>
          <w:spacing w:val="8"/>
        </w:rPr>
        <w:t>算术平均值为评标基准价。</w:t>
      </w:r>
    </w:p>
    <w:p>
      <w:pPr>
        <w:ind w:left="802"/>
        <w:spacing w:before="287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评标基准价计算方法三（平均价下浮法）</w:t>
      </w:r>
    </w:p>
    <w:p>
      <w:pPr>
        <w:pStyle w:val="BodyText"/>
        <w:ind w:left="196" w:right="2" w:firstLine="605"/>
        <w:spacing w:before="290" w:line="393" w:lineRule="auto"/>
        <w:rPr/>
      </w:pPr>
      <w:r>
        <w:rPr>
          <w:spacing w:val="9"/>
        </w:rPr>
        <w:t>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9"/>
        </w:rPr>
        <w:t>）报价平均值：进入计算范围的所有投标人的评标价</w:t>
      </w:r>
      <w:r>
        <w:rPr>
          <w:spacing w:val="12"/>
        </w:rPr>
        <w:t>的算术平均值为报价平均值（投标评标价在</w:t>
      </w:r>
      <w:r>
        <w:rPr>
          <w:rFonts w:ascii="Times New Roman" w:hAnsi="Times New Roman" w:eastAsia="Times New Roman" w:cs="Times New Roman"/>
          <w:spacing w:val="12"/>
        </w:rPr>
        <w:t>5 </w:t>
      </w:r>
      <w:r>
        <w:rPr>
          <w:spacing w:val="12"/>
        </w:rPr>
        <w:t>个至</w:t>
      </w:r>
      <w:r>
        <w:rPr>
          <w:rFonts w:ascii="Times New Roman" w:hAnsi="Times New Roman" w:eastAsia="Times New Roman" w:cs="Times New Roman"/>
          <w:spacing w:val="12"/>
        </w:rPr>
        <w:t>9 </w:t>
      </w:r>
      <w:r>
        <w:rPr>
          <w:spacing w:val="12"/>
        </w:rPr>
        <w:t>个时，去</w:t>
      </w:r>
    </w:p>
    <w:p>
      <w:pPr>
        <w:spacing w:line="393" w:lineRule="auto"/>
        <w:sectPr>
          <w:footerReference w:type="default" r:id="rId13"/>
          <w:pgSz w:w="11906" w:h="16839"/>
          <w:pgMar w:top="1431" w:right="1643" w:bottom="1157" w:left="1487" w:header="0" w:footer="991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6" w:right="174" w:firstLine="7"/>
        <w:spacing w:before="100" w:line="393" w:lineRule="auto"/>
        <w:rPr/>
      </w:pPr>
      <w:r>
        <w:rPr>
          <w:spacing w:val="8"/>
        </w:rPr>
        <w:t>除一个最高价和一个最低价；投标评标价在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8"/>
        </w:rPr>
        <w:t>个及以上时，</w:t>
      </w:r>
      <w:r>
        <w:rPr>
          <w:spacing w:val="2"/>
        </w:rPr>
        <w:t>去除一个最高、次高价和一个最低、次低价）。</w:t>
      </w:r>
    </w:p>
    <w:p>
      <w:pPr>
        <w:pStyle w:val="BodyText"/>
        <w:ind w:right="95" w:firstLine="635"/>
        <w:spacing w:line="393" w:lineRule="auto"/>
        <w:jc w:val="both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10"/>
        </w:rPr>
        <w:t>）评标基准价：在开标时，</w:t>
      </w:r>
      <w:r>
        <w:rPr>
          <w:spacing w:val="-82"/>
        </w:rPr>
        <w:t xml:space="preserve"> </w:t>
      </w:r>
      <w:r>
        <w:rPr>
          <w:spacing w:val="10"/>
        </w:rPr>
        <w:t>由招标人代表从一定数值</w:t>
      </w:r>
      <w:r>
        <w:rPr>
          <w:spacing w:val="14"/>
        </w:rPr>
        <w:t>中随机抽取一个值并除以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100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4"/>
        </w:rPr>
        <w:t>生成百分数，作为下浮值</w:t>
      </w:r>
      <w:r>
        <w:rPr>
          <w:spacing w:val="-79"/>
          <w:w w:val="91"/>
        </w:rPr>
        <w:t>；（</w:t>
      </w:r>
      <w:r>
        <w:rPr>
          <w:spacing w:val="14"/>
        </w:rPr>
        <w:t>招</w:t>
      </w:r>
      <w:r>
        <w:rPr>
          <w:spacing w:val="-3"/>
        </w:rPr>
        <w:t>标人在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1.5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2.5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spacing w:val="-9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…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9.5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个数中，</w:t>
      </w:r>
      <w:r>
        <w:rPr>
          <w:spacing w:val="8"/>
        </w:rPr>
        <w:t>确定一个由其中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 </w:t>
      </w:r>
      <w:r>
        <w:rPr>
          <w:spacing w:val="8"/>
        </w:rPr>
        <w:t>个数组成的等差数列，在编</w:t>
      </w:r>
      <w:r>
        <w:rPr>
          <w:spacing w:val="7"/>
        </w:rPr>
        <w:t>制招标文件时填</w:t>
      </w:r>
      <w:r>
        <w:rPr>
          <w:spacing w:val="-39"/>
        </w:rPr>
        <w:t>入）。</w:t>
      </w:r>
    </w:p>
    <w:p>
      <w:pPr>
        <w:pStyle w:val="BodyText"/>
        <w:ind w:left="3" w:right="94" w:firstLine="639"/>
        <w:spacing w:before="3" w:line="374" w:lineRule="auto"/>
        <w:jc w:val="both"/>
        <w:rPr/>
      </w:pPr>
      <w:r>
        <w:rPr>
          <w:spacing w:val="8"/>
        </w:rPr>
        <w:t>评标时，评标委员会先按上述办法计算出报价平均值，再</w:t>
      </w:r>
      <w:r>
        <w:rPr>
          <w:spacing w:val="6"/>
        </w:rPr>
        <w:t>按以下公式计算出评标基准价：评标基准价</w:t>
      </w:r>
      <w:r>
        <w:rPr>
          <w:rFonts w:ascii="Times New Roman" w:hAnsi="Times New Roman" w:eastAsia="Times New Roman" w:cs="Times New Roman"/>
          <w:spacing w:val="6"/>
        </w:rPr>
        <w:t>=</w:t>
      </w:r>
      <w:r>
        <w:rPr>
          <w:spacing w:val="5"/>
        </w:rPr>
        <w:t>报价平均值</w:t>
      </w:r>
      <w:r>
        <w:rPr>
          <w:rFonts w:ascii="Times New Roman" w:hAnsi="Times New Roman" w:eastAsia="Times New Roman" w:cs="Times New Roman"/>
          <w:spacing w:val="5"/>
        </w:rPr>
        <w:t>×</w:t>
      </w:r>
      <w:r>
        <w:rPr>
          <w:spacing w:val="5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1-</w:t>
      </w:r>
      <w:r>
        <w:rPr>
          <w:spacing w:val="-20"/>
        </w:rPr>
        <w:t>下浮值）。</w:t>
      </w:r>
    </w:p>
    <w:p>
      <w:pPr>
        <w:ind w:left="636"/>
        <w:spacing w:before="9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评标基准价计算方法四（</w:t>
      </w:r>
      <w:r>
        <w:rPr>
          <w:rFonts w:ascii="KaiTi" w:hAnsi="KaiTi" w:eastAsia="KaiTi" w:cs="KaiTi"/>
          <w:sz w:val="31"/>
          <w:szCs w:val="31"/>
          <w:spacing w:val="-5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随机权重平均法）</w:t>
      </w:r>
    </w:p>
    <w:p>
      <w:pPr>
        <w:pStyle w:val="BodyText"/>
        <w:ind w:left="27" w:firstLine="607"/>
        <w:spacing w:before="291" w:line="308" w:lineRule="auto"/>
        <w:rPr/>
      </w:pPr>
      <w:r>
        <w:rPr>
          <w:spacing w:val="-21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1"/>
        </w:rPr>
        <w:t>）开标时，所有投标文件在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0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21"/>
        </w:rPr>
        <w:t>－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1</w:t>
      </w:r>
      <w:r>
        <w:rPr>
          <w:spacing w:val="-21"/>
        </w:rPr>
        <w:t>（</w:t>
      </w:r>
      <w:r>
        <w:rPr>
          <w:rFonts w:ascii="Times New Roman" w:hAnsi="Times New Roman" w:eastAsia="Times New Roman" w:cs="Times New Roman"/>
          <w:spacing w:val="-21"/>
        </w:rPr>
        <w:t>0</w:t>
      </w:r>
      <w:r>
        <w:rPr>
          <w:spacing w:val="-22"/>
        </w:rPr>
        <w:t>、</w:t>
      </w:r>
      <w:r>
        <w:rPr>
          <w:rFonts w:ascii="Times New Roman" w:hAnsi="Times New Roman" w:eastAsia="Times New Roman" w:cs="Times New Roman"/>
          <w:spacing w:val="-22"/>
        </w:rPr>
        <w:t>0.01</w:t>
      </w:r>
      <w:r>
        <w:rPr>
          <w:spacing w:val="-22"/>
        </w:rPr>
        <w:t>、</w:t>
      </w:r>
      <w:r>
        <w:rPr>
          <w:rFonts w:ascii="Times New Roman" w:hAnsi="Times New Roman" w:eastAsia="Times New Roman" w:cs="Times New Roman"/>
          <w:spacing w:val="-22"/>
        </w:rPr>
        <w:t>0.02…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…0.99</w:t>
      </w:r>
      <w:r>
        <w:rPr>
          <w:spacing w:val="-22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3"/>
        </w:rPr>
        <w:t>）之间随机抽取一个权重系数。</w:t>
      </w:r>
    </w:p>
    <w:p>
      <w:pPr>
        <w:pStyle w:val="BodyText"/>
        <w:ind w:left="1" w:right="97" w:firstLine="633"/>
        <w:spacing w:before="286" w:line="336" w:lineRule="auto"/>
        <w:rPr/>
      </w:pPr>
      <w:r>
        <w:rPr>
          <w:spacing w:val="13"/>
        </w:rPr>
        <w:t>（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13"/>
        </w:rPr>
        <w:t>）评标基准价：进入计算范围的投标评标价（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C1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3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C2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3"/>
        </w:rPr>
        <w:t>、</w:t>
      </w:r>
      <w:r>
        <w:rPr>
          <w:spacing w:val="-9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…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-46"/>
        </w:rPr>
        <w:t>），</w:t>
      </w:r>
      <w:r>
        <w:rPr>
          <w:spacing w:val="3"/>
        </w:rPr>
        <w:t>与对应的权重系数（</w:t>
      </w:r>
      <w:r>
        <w:rPr>
          <w:rFonts w:ascii="Times New Roman" w:hAnsi="Times New Roman" w:eastAsia="Times New Roman" w:cs="Times New Roman"/>
          <w:spacing w:val="3"/>
        </w:rPr>
        <w:t>A1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A2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3"/>
        </w:rPr>
        <w:t>、</w:t>
      </w:r>
      <w:r>
        <w:rPr>
          <w:spacing w:val="-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…</w:t>
      </w:r>
      <w:r>
        <w:rPr>
          <w:rFonts w:ascii="Times New Roman" w:hAnsi="Times New Roman" w:eastAsia="Times New Roman" w:cs="Times New Roman"/>
        </w:rPr>
        <w:t>An</w:t>
      </w:r>
      <w:r>
        <w:rPr>
          <w:spacing w:val="3"/>
        </w:rPr>
        <w:t>）进行加权</w:t>
      </w:r>
      <w:r>
        <w:rPr>
          <w:spacing w:val="8"/>
        </w:rPr>
        <w:t>平均计算得出评标基准价，计算公式：</w:t>
      </w:r>
    </w:p>
    <w:p>
      <w:pPr>
        <w:pStyle w:val="BodyText"/>
        <w:ind w:left="2743"/>
        <w:spacing w:before="290" w:line="231" w:lineRule="auto"/>
        <w:rPr>
          <w:sz w:val="24"/>
          <w:szCs w:val="24"/>
        </w:rPr>
      </w:pPr>
      <w:r>
        <w:rPr>
          <w:sz w:val="24"/>
          <w:szCs w:val="24"/>
          <w:spacing w:val="-11"/>
        </w:rPr>
        <w:t>（C1</w:t>
      </w:r>
      <w:r>
        <w:rPr>
          <w:sz w:val="24"/>
          <w:szCs w:val="24"/>
          <w:spacing w:val="-42"/>
        </w:rPr>
        <w:t xml:space="preserve"> </w:t>
      </w:r>
      <w:r>
        <w:rPr>
          <w:sz w:val="24"/>
          <w:szCs w:val="24"/>
          <w:spacing w:val="-11"/>
        </w:rPr>
        <w:t>×A1）+（C2</w:t>
      </w:r>
      <w:r>
        <w:rPr>
          <w:sz w:val="24"/>
          <w:szCs w:val="24"/>
          <w:spacing w:val="-50"/>
        </w:rPr>
        <w:t xml:space="preserve"> </w:t>
      </w:r>
      <w:r>
        <w:rPr>
          <w:sz w:val="24"/>
          <w:szCs w:val="24"/>
          <w:spacing w:val="-11"/>
        </w:rPr>
        <w:t>×A2）+</w:t>
      </w:r>
      <w:r>
        <w:rPr>
          <w:sz w:val="24"/>
          <w:szCs w:val="24"/>
          <w:spacing w:val="-81"/>
        </w:rPr>
        <w:t xml:space="preserve"> </w:t>
      </w:r>
      <w:r>
        <w:rPr>
          <w:sz w:val="24"/>
          <w:szCs w:val="24"/>
          <w:spacing w:val="-11"/>
        </w:rPr>
        <w:t>…（Cn</w:t>
      </w:r>
      <w:r>
        <w:rPr>
          <w:sz w:val="24"/>
          <w:szCs w:val="24"/>
          <w:spacing w:val="-50"/>
        </w:rPr>
        <w:t xml:space="preserve"> </w:t>
      </w:r>
      <w:r>
        <w:rPr>
          <w:sz w:val="24"/>
          <w:szCs w:val="24"/>
          <w:spacing w:val="-11"/>
        </w:rPr>
        <w:t>×An）</w:t>
      </w:r>
    </w:p>
    <w:p>
      <w:pPr>
        <w:pStyle w:val="BodyText"/>
        <w:ind w:left="1547"/>
        <w:spacing w:before="281" w:line="21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评标基准价=——</w:t>
      </w:r>
      <w:r>
        <w:rPr>
          <w:sz w:val="24"/>
          <w:szCs w:val="24"/>
          <w:spacing w:val="-81"/>
        </w:rPr>
        <w:t xml:space="preserve"> </w:t>
      </w:r>
      <w:r>
        <w:rPr>
          <w:sz w:val="24"/>
          <w:szCs w:val="24"/>
          <w:spacing w:val="-2"/>
        </w:rPr>
        <w:t>———</w:t>
      </w:r>
      <w:r>
        <w:rPr>
          <w:sz w:val="24"/>
          <w:szCs w:val="24"/>
          <w:spacing w:val="-92"/>
        </w:rPr>
        <w:t xml:space="preserve"> </w:t>
      </w:r>
      <w:r>
        <w:rPr>
          <w:sz w:val="24"/>
          <w:szCs w:val="24"/>
          <w:spacing w:val="-2"/>
        </w:rPr>
        <w:t>———</w:t>
      </w:r>
      <w:r>
        <w:rPr>
          <w:sz w:val="24"/>
          <w:szCs w:val="24"/>
          <w:spacing w:val="-92"/>
        </w:rPr>
        <w:t xml:space="preserve"> </w:t>
      </w:r>
      <w:r>
        <w:rPr>
          <w:sz w:val="24"/>
          <w:szCs w:val="24"/>
          <w:spacing w:val="-2"/>
        </w:rPr>
        <w:t>———</w:t>
      </w:r>
      <w:r>
        <w:rPr>
          <w:sz w:val="24"/>
          <w:szCs w:val="24"/>
          <w:spacing w:val="-93"/>
        </w:rPr>
        <w:t xml:space="preserve"> </w:t>
      </w:r>
      <w:r>
        <w:rPr>
          <w:sz w:val="24"/>
          <w:szCs w:val="24"/>
          <w:spacing w:val="-2"/>
        </w:rPr>
        <w:t>——</w:t>
      </w:r>
      <w:r>
        <w:rPr>
          <w:sz w:val="24"/>
          <w:szCs w:val="24"/>
          <w:spacing w:val="-92"/>
        </w:rPr>
        <w:t xml:space="preserve"> </w:t>
      </w:r>
      <w:r>
        <w:rPr>
          <w:sz w:val="24"/>
          <w:szCs w:val="24"/>
          <w:spacing w:val="-2"/>
        </w:rPr>
        <w:t>———</w:t>
      </w:r>
      <w:r>
        <w:rPr>
          <w:sz w:val="24"/>
          <w:szCs w:val="24"/>
          <w:spacing w:val="-92"/>
        </w:rPr>
        <w:t xml:space="preserve"> </w:t>
      </w:r>
      <w:r>
        <w:rPr>
          <w:sz w:val="24"/>
          <w:szCs w:val="24"/>
          <w:spacing w:val="-2"/>
        </w:rPr>
        <w:t>—</w:t>
      </w:r>
    </w:p>
    <w:p>
      <w:pPr>
        <w:pStyle w:val="BodyText"/>
        <w:ind w:left="3227"/>
        <w:spacing w:before="299" w:line="237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A1+A2+</w:t>
      </w:r>
      <w:r>
        <w:rPr>
          <w:sz w:val="24"/>
          <w:szCs w:val="24"/>
          <w:spacing w:val="-77"/>
        </w:rPr>
        <w:t xml:space="preserve"> </w:t>
      </w:r>
      <w:r>
        <w:rPr>
          <w:sz w:val="24"/>
          <w:szCs w:val="24"/>
          <w:spacing w:val="-6"/>
        </w:rPr>
        <w:t>…An</w:t>
      </w:r>
    </w:p>
    <w:p>
      <w:pPr>
        <w:ind w:left="636"/>
        <w:spacing w:before="283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评标基准价计算方法五（基准值合成法）</w:t>
      </w:r>
    </w:p>
    <w:p>
      <w:pPr>
        <w:spacing w:line="220" w:lineRule="auto"/>
        <w:sectPr>
          <w:footerReference w:type="default" r:id="rId14"/>
          <w:pgSz w:w="11906" w:h="16839"/>
          <w:pgMar w:top="1431" w:right="1548" w:bottom="1157" w:left="1653" w:header="0" w:footer="992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809"/>
        <w:spacing w:before="101" w:line="429" w:lineRule="exact"/>
        <w:rPr/>
      </w:pPr>
      <w:r>
        <w:rPr>
          <w:spacing w:val="-8"/>
          <w:position w:val="2"/>
        </w:rPr>
        <w:t>评标基准价</w:t>
      </w:r>
      <w:r>
        <w:rPr>
          <w:rFonts w:ascii="Times New Roman" w:hAnsi="Times New Roman" w:eastAsia="Times New Roman" w:cs="Times New Roman"/>
          <w:spacing w:val="-8"/>
          <w:position w:val="2"/>
        </w:rPr>
        <w:t>=A×</w:t>
      </w:r>
      <w:r>
        <w:rPr>
          <w:spacing w:val="-8"/>
          <w:position w:val="2"/>
        </w:rPr>
        <w:t>（</w:t>
      </w:r>
      <w:r>
        <w:rPr>
          <w:spacing w:val="-6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2"/>
        </w:rPr>
        <w:t>1-K%</w:t>
      </w:r>
      <w:r>
        <w:rPr>
          <w:spacing w:val="-8"/>
          <w:position w:val="2"/>
        </w:rPr>
        <w:t>）。</w:t>
      </w:r>
    </w:p>
    <w:p>
      <w:pPr>
        <w:pStyle w:val="BodyText"/>
        <w:ind w:left="185" w:right="153" w:firstLine="648"/>
        <w:spacing w:before="307" w:line="388" w:lineRule="auto"/>
        <w:rPr/>
      </w:pPr>
      <w:r>
        <w:rPr>
          <w:spacing w:val="7"/>
        </w:rPr>
        <w:t>式中：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为招标人的最高投标限价（最高投标限价的确定</w:t>
      </w:r>
      <w:r>
        <w:rPr>
          <w:spacing w:val="-2"/>
        </w:rPr>
        <w:t>见投标人须知前附表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3.2.4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项规定）。</w:t>
      </w:r>
    </w:p>
    <w:p>
      <w:pPr>
        <w:pStyle w:val="BodyText"/>
        <w:ind w:firstLine="802"/>
        <w:spacing w:before="3" w:line="410" w:lineRule="auto"/>
        <w:tabs>
          <w:tab w:val="left" w:pos="168"/>
        </w:tabs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K=Z.</w:t>
      </w:r>
      <w:r>
        <w:rPr>
          <w:rFonts w:ascii="Times New Roman" w:hAnsi="Times New Roman" w:eastAsia="Times New Roman" w:cs="Times New Roman"/>
        </w:rPr>
        <w:t>XY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Z </w:t>
      </w:r>
      <w:r>
        <w:rPr>
          <w:spacing w:val="3"/>
        </w:rPr>
        <w:t>值为招标人直接确定或在开标会议上抽</w:t>
      </w:r>
      <w:r>
        <w:rPr>
          <w:spacing w:val="2"/>
        </w:rPr>
        <w:t>取（房</w:t>
      </w:r>
      <w:r>
        <w:rPr>
          <w:spacing w:val="12"/>
        </w:rPr>
        <w:t>屋建筑项目从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6-12</w:t>
      </w:r>
      <w:r>
        <w:rPr>
          <w:spacing w:val="12"/>
        </w:rPr>
        <w:t>（整数）中确定或抽取，市政基础设施和园</w:t>
      </w:r>
      <w:r>
        <w:rPr>
          <w:spacing w:val="8"/>
        </w:rPr>
        <w:t>林绿化项目从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10-18</w:t>
      </w:r>
      <w:r>
        <w:rPr>
          <w:spacing w:val="8"/>
        </w:rPr>
        <w:t>（整数）中确定或抽取，机电安装</w:t>
      </w:r>
      <w:r>
        <w:rPr>
          <w:spacing w:val="7"/>
        </w:rPr>
        <w:t>项目从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8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-15</w:t>
      </w:r>
      <w:r>
        <w:rPr>
          <w:spacing w:val="-1"/>
        </w:rPr>
        <w:t>（整数）中确定或抽取</w:t>
      </w:r>
      <w:r>
        <w:rPr>
          <w:spacing w:val="-84"/>
          <w:w w:val="96"/>
        </w:rPr>
        <w:t>）；</w:t>
      </w:r>
      <w:r>
        <w:rPr>
          <w:rFonts w:ascii="Times New Roman" w:hAnsi="Times New Roman" w:eastAsia="Times New Roman" w:cs="Times New Roman"/>
          <w:spacing w:val="-1"/>
        </w:rPr>
        <w:t>X </w:t>
      </w:r>
      <w:r>
        <w:rPr>
          <w:spacing w:val="-1"/>
        </w:rPr>
        <w:t>值在开标会议</w:t>
      </w:r>
      <w:r>
        <w:rPr>
          <w:spacing w:val="-2"/>
        </w:rPr>
        <w:t>上从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～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（整数）</w:t>
      </w:r>
      <w:r>
        <w:rPr>
          <w:spacing w:val="7"/>
        </w:rPr>
        <w:t>十个数中随机抽取，以抽取值为准；</w:t>
      </w:r>
      <w:r>
        <w:rPr>
          <w:rFonts w:ascii="Times New Roman" w:hAnsi="Times New Roman" w:eastAsia="Times New Roman" w:cs="Times New Roman"/>
          <w:spacing w:val="7"/>
        </w:rPr>
        <w:t>Y </w:t>
      </w:r>
      <w:r>
        <w:rPr>
          <w:spacing w:val="7"/>
        </w:rPr>
        <w:t>值在开标会议上从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6"/>
        </w:rPr>
        <w:t>～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（整数）十个数数字中随机抽取，</w:t>
      </w:r>
      <w:r>
        <w:rPr>
          <w:spacing w:val="-83"/>
        </w:rPr>
        <w:t xml:space="preserve"> </w:t>
      </w:r>
      <w:r>
        <w:rPr>
          <w:spacing w:val="6"/>
        </w:rPr>
        <w:t>以抽取值为准。</w:t>
      </w:r>
    </w:p>
    <w:p>
      <w:pPr>
        <w:pStyle w:val="BodyText"/>
        <w:ind w:left="804"/>
        <w:spacing w:before="4" w:line="221" w:lineRule="auto"/>
        <w:outlineLvl w:val="3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2.</w:t>
      </w:r>
      <w:r>
        <w:rPr>
          <w:b/>
          <w:bCs/>
          <w:spacing w:val="6"/>
        </w:rPr>
        <w:t>工程量清单综合单价评分</w:t>
      </w:r>
    </w:p>
    <w:p>
      <w:pPr>
        <w:pStyle w:val="BodyText"/>
        <w:ind w:left="175" w:right="153" w:firstLine="626"/>
        <w:spacing w:before="308" w:line="405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spacing w:val="7"/>
        </w:rPr>
        <w:t>～不超过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 </w:t>
      </w:r>
      <w:r>
        <w:rPr>
          <w:spacing w:val="7"/>
        </w:rPr>
        <w:t>分；如不选择该项，将相</w:t>
      </w:r>
      <w:r>
        <w:rPr>
          <w:spacing w:val="6"/>
        </w:rPr>
        <w:t>关分值增加至商</w:t>
      </w:r>
      <w:r>
        <w:rPr>
          <w:spacing w:val="-8"/>
        </w:rPr>
        <w:t>务总报价评分中）。</w:t>
      </w:r>
    </w:p>
    <w:p>
      <w:pPr>
        <w:pStyle w:val="BodyText"/>
        <w:ind w:left="196" w:right="153" w:firstLine="605"/>
        <w:spacing w:before="1" w:line="313" w:lineRule="auto"/>
        <w:rPr/>
      </w:pPr>
      <w:r>
        <w:rPr>
          <w:spacing w:val="9"/>
        </w:rPr>
        <w:t>（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9"/>
        </w:rPr>
        <w:t>）确定评标基准单价：评标基准单价为进入评分范围</w:t>
      </w:r>
      <w:r>
        <w:rPr>
          <w:spacing w:val="7"/>
        </w:rPr>
        <w:t>的所有投标文件该子目评标价的算术平均值。</w:t>
      </w:r>
    </w:p>
    <w:p>
      <w:pPr>
        <w:pStyle w:val="BodyText"/>
        <w:ind w:left="182" w:right="156" w:firstLine="619"/>
        <w:spacing w:before="306" w:line="314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）必审项目：招标文件工程量清单备注栏标识有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SimSun" w:hAnsi="SimSun" w:eastAsia="SimSun" w:cs="SimSun"/>
          <w:spacing w:val="9"/>
        </w:rPr>
        <w:t>★</w:t>
      </w:r>
      <w:r>
        <w:rPr>
          <w:spacing w:val="9"/>
        </w:rPr>
        <w:t>序</w:t>
      </w:r>
      <w:r>
        <w:rPr>
          <w:spacing w:val="2"/>
        </w:rPr>
        <w:t>号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的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 </w:t>
      </w:r>
      <w:r>
        <w:rPr>
          <w:spacing w:val="2"/>
        </w:rPr>
        <w:t>个重要项目（招标人编制招标文件时明确）。</w:t>
      </w:r>
    </w:p>
    <w:p>
      <w:pPr>
        <w:pStyle w:val="BodyText"/>
        <w:ind w:left="166" w:right="155" w:firstLine="635"/>
        <w:spacing w:before="307" w:line="344" w:lineRule="auto"/>
        <w:rPr>
          <w:rFonts w:ascii="Times New Roman" w:hAnsi="Times New Roman" w:eastAsia="Times New Roman" w:cs="Times New Roman"/>
        </w:rPr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3"/>
        </w:rPr>
        <w:t>）随机抽取项目：开标时，招标人或招标代理机构从</w:t>
      </w:r>
      <w:r>
        <w:rPr>
          <w:spacing w:val="10"/>
        </w:rPr>
        <w:t>招标文件工程量清单备注栏标识有</w:t>
      </w:r>
      <w:r>
        <w:rPr>
          <w:rFonts w:ascii="Times New Roman" w:hAnsi="Times New Roman" w:eastAsia="Times New Roman" w:cs="Times New Roman"/>
          <w:spacing w:val="10"/>
        </w:rPr>
        <w:t>“▲</w:t>
      </w:r>
      <w:r>
        <w:rPr>
          <w:spacing w:val="10"/>
        </w:rPr>
        <w:t>序号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9"/>
        </w:rPr>
        <w:t>的重要项目中，随</w:t>
      </w:r>
      <w:r>
        <w:rPr>
          <w:spacing w:val="13"/>
        </w:rPr>
        <w:t>机抽取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5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13"/>
        </w:rPr>
        <w:t>个重要项目（招标人编制招标文件时明确不少于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10</w:t>
      </w:r>
    </w:p>
    <w:p>
      <w:pPr>
        <w:spacing w:line="344" w:lineRule="auto"/>
        <w:sectPr>
          <w:footerReference w:type="default" r:id="rId15"/>
          <w:pgSz w:w="11906" w:h="16839"/>
          <w:pgMar w:top="1431" w:right="1489" w:bottom="1156" w:left="1487" w:header="0" w:footer="992" w:gutter="0"/>
        </w:sectPr>
        <w:rPr>
          <w:rFonts w:ascii="Times New Roman" w:hAnsi="Times New Roman" w:eastAsia="Times New Roman" w:cs="Times New Roman"/>
        </w:rPr>
      </w:pP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1" w:line="222" w:lineRule="auto"/>
        <w:rPr/>
      </w:pPr>
      <w:r>
        <w:rPr>
          <w:spacing w:val="-1"/>
        </w:rPr>
        <w:t>个抽取项目，开标时从中抽取）。</w:t>
      </w:r>
    </w:p>
    <w:p>
      <w:pPr>
        <w:pStyle w:val="BodyText"/>
        <w:ind w:left="7" w:right="89" w:firstLine="635"/>
        <w:spacing w:before="303" w:line="405" w:lineRule="auto"/>
        <w:jc w:val="both"/>
        <w:rPr/>
      </w:pPr>
      <w:r>
        <w:rPr>
          <w:spacing w:val="15"/>
        </w:rPr>
        <w:t>（</w:t>
      </w:r>
      <w:r>
        <w:rPr>
          <w:rFonts w:ascii="Times New Roman" w:hAnsi="Times New Roman" w:eastAsia="Times New Roman" w:cs="Times New Roman"/>
          <w:spacing w:val="15"/>
        </w:rPr>
        <w:t>4</w:t>
      </w:r>
      <w:r>
        <w:rPr>
          <w:spacing w:val="15"/>
        </w:rPr>
        <w:t>）综合单价评价：进行工程量清单综合单价评审项目</w:t>
      </w:r>
      <w:r>
        <w:rPr>
          <w:spacing w:val="8"/>
        </w:rPr>
        <w:t>的投标单价与评标基准单价比较，投标人该项子目单价偏离评</w:t>
      </w:r>
      <w:r>
        <w:rPr>
          <w:spacing w:val="6"/>
        </w:rPr>
        <w:t>标基准单价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10%</w:t>
      </w:r>
      <w:r>
        <w:rPr>
          <w:spacing w:val="6"/>
        </w:rPr>
        <w:t>及以内的不扣减该项分值，偏离评标基准单价</w:t>
      </w:r>
      <w:r>
        <w:rPr>
          <w:rFonts w:ascii="Times New Roman" w:hAnsi="Times New Roman" w:eastAsia="Times New Roman" w:cs="Times New Roman"/>
          <w:spacing w:val="6"/>
        </w:rPr>
        <w:t>10%</w:t>
      </w:r>
      <w:r>
        <w:rPr>
          <w:spacing w:val="6"/>
        </w:rPr>
        <w:t>（不含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10%</w:t>
      </w:r>
      <w:r>
        <w:rPr>
          <w:spacing w:val="6"/>
        </w:rPr>
        <w:t>）至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20%</w:t>
      </w:r>
      <w:r>
        <w:rPr>
          <w:spacing w:val="6"/>
        </w:rPr>
        <w:t>的扣该项分值（工程量清单综合单价</w:t>
      </w:r>
      <w:r>
        <w:rPr/>
        <w:t>评分</w:t>
      </w:r>
      <w:r>
        <w:rPr>
          <w:rFonts w:ascii="Times New Roman" w:hAnsi="Times New Roman" w:eastAsia="Times New Roman" w:cs="Times New Roman"/>
        </w:rPr>
        <w:t>/10</w:t>
      </w:r>
      <w:r>
        <w:rPr/>
        <w:t>）的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25%</w:t>
      </w:r>
      <w:r>
        <w:rPr/>
        <w:t>，偏离评标基准单价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20%</w:t>
      </w:r>
      <w:r>
        <w:rPr/>
        <w:t>（不含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20%</w:t>
      </w:r>
      <w:r>
        <w:rPr/>
        <w:t>）至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30%</w:t>
      </w:r>
      <w:r>
        <w:rPr>
          <w:spacing w:val="3"/>
        </w:rPr>
        <w:t>的扣该项分值（工程量清单综合单价评分</w:t>
      </w:r>
      <w:r>
        <w:rPr>
          <w:rFonts w:ascii="Times New Roman" w:hAnsi="Times New Roman" w:eastAsia="Times New Roman" w:cs="Times New Roman"/>
          <w:spacing w:val="3"/>
        </w:rPr>
        <w:t>/10</w:t>
      </w:r>
      <w:r>
        <w:rPr>
          <w:spacing w:val="3"/>
        </w:rPr>
        <w:t>）的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50%</w:t>
      </w:r>
      <w:r>
        <w:rPr>
          <w:spacing w:val="3"/>
        </w:rPr>
        <w:t>，偏离评</w:t>
      </w:r>
      <w:r>
        <w:rPr>
          <w:spacing w:val="8"/>
        </w:rPr>
        <w:t>标基准单价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30%</w:t>
      </w:r>
      <w:r>
        <w:rPr>
          <w:spacing w:val="8"/>
        </w:rPr>
        <w:t>（不含</w:t>
      </w:r>
      <w:r>
        <w:rPr>
          <w:rFonts w:ascii="Times New Roman" w:hAnsi="Times New Roman" w:eastAsia="Times New Roman" w:cs="Times New Roman"/>
          <w:spacing w:val="8"/>
        </w:rPr>
        <w:t>30%</w:t>
      </w:r>
      <w:r>
        <w:rPr>
          <w:spacing w:val="8"/>
        </w:rPr>
        <w:t>）以上的该项分值（工程量清单综</w:t>
      </w:r>
      <w:r>
        <w:rPr>
          <w:spacing w:val="5"/>
        </w:rPr>
        <w:t>合单价评分</w:t>
      </w:r>
      <w:r>
        <w:rPr>
          <w:rFonts w:ascii="Times New Roman" w:hAnsi="Times New Roman" w:eastAsia="Times New Roman" w:cs="Times New Roman"/>
          <w:spacing w:val="5"/>
        </w:rPr>
        <w:t>/10</w:t>
      </w:r>
      <w:r>
        <w:rPr>
          <w:spacing w:val="5"/>
        </w:rPr>
        <w:t>）全部扣完。以上偏离百分比均为正负偏离百分</w:t>
      </w:r>
      <w:r>
        <w:rPr>
          <w:spacing w:val="8"/>
        </w:rPr>
        <w:t>比，偏离百分比四舍五入保留至个位。</w:t>
      </w:r>
    </w:p>
    <w:p>
      <w:pPr>
        <w:ind w:left="669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四、技术标部分</w:t>
      </w:r>
    </w:p>
    <w:p>
      <w:pPr>
        <w:ind w:left="642"/>
        <w:spacing w:before="297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一）适用于技术标打分制的综合评估法</w:t>
      </w:r>
    </w:p>
    <w:p>
      <w:pPr>
        <w:pStyle w:val="BodyText"/>
        <w:ind w:firstLine="675"/>
        <w:spacing w:before="318" w:line="402" w:lineRule="auto"/>
        <w:jc w:val="both"/>
        <w:rPr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8"/>
        </w:rPr>
        <w:t>由评标委员会各成员或技术专家按评审因素和评分标准</w:t>
      </w:r>
      <w:r>
        <w:rPr>
          <w:spacing w:val="11"/>
        </w:rPr>
        <w:t>进行独立评分（保留</w:t>
      </w:r>
      <w:r>
        <w:rPr>
          <w:rFonts w:ascii="Times New Roman" w:hAnsi="Times New Roman" w:eastAsia="Times New Roman" w:cs="Times New Roman"/>
          <w:spacing w:val="11"/>
        </w:rPr>
        <w:t>2 </w:t>
      </w:r>
      <w:r>
        <w:rPr>
          <w:spacing w:val="11"/>
        </w:rPr>
        <w:t>位小数）并署名。单项评分最大范围在</w:t>
      </w: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5"/>
        </w:rPr>
        <w:t>分（</w:t>
      </w:r>
      <w:r>
        <w:rPr>
          <w:rFonts w:ascii="Times New Roman" w:hAnsi="Times New Roman" w:eastAsia="Times New Roman" w:cs="Times New Roman"/>
          <w:spacing w:val="5"/>
        </w:rPr>
        <w:t>A=B×</w:t>
      </w:r>
      <w:r>
        <w:rPr>
          <w:spacing w:val="5"/>
        </w:rPr>
        <w:t>比值）至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B  </w:t>
      </w:r>
      <w:r>
        <w:rPr>
          <w:spacing w:val="5"/>
        </w:rPr>
        <w:t>分（</w:t>
      </w:r>
      <w:r>
        <w:rPr>
          <w:rFonts w:ascii="Times New Roman" w:hAnsi="Times New Roman" w:eastAsia="Times New Roman" w:cs="Times New Roman"/>
          <w:spacing w:val="5"/>
        </w:rPr>
        <w:t>B=</w:t>
      </w:r>
      <w:r>
        <w:rPr>
          <w:spacing w:val="5"/>
        </w:rPr>
        <w:t>技术分满分</w:t>
      </w:r>
      <w:r>
        <w:rPr>
          <w:rFonts w:ascii="Times New Roman" w:hAnsi="Times New Roman" w:eastAsia="Times New Roman" w:cs="Times New Roman"/>
          <w:spacing w:val="5"/>
        </w:rPr>
        <w:t>×</w:t>
      </w:r>
      <w:r>
        <w:rPr>
          <w:spacing w:val="5"/>
        </w:rPr>
        <w:t>分值权重）之间</w:t>
      </w:r>
      <w:r>
        <w:rPr>
          <w:spacing w:val="10"/>
        </w:rPr>
        <w:t>（含本数</w:t>
      </w:r>
      <w:r>
        <w:rPr>
          <w:spacing w:val="-44"/>
        </w:rPr>
        <w:t>）；</w:t>
      </w:r>
      <w:r>
        <w:rPr>
          <w:spacing w:val="10"/>
        </w:rPr>
        <w:t>对低于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A  </w:t>
      </w:r>
      <w:r>
        <w:rPr>
          <w:spacing w:val="10"/>
        </w:rPr>
        <w:t>分或高于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B  </w:t>
      </w:r>
      <w:r>
        <w:rPr>
          <w:spacing w:val="10"/>
        </w:rPr>
        <w:t>分的评分表作无效处理。</w:t>
      </w:r>
      <w:r>
        <w:rPr>
          <w:spacing w:val="1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A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1"/>
        </w:rPr>
        <w:t>、</w:t>
      </w:r>
      <w:r>
        <w:rPr>
          <w:rFonts w:ascii="Times New Roman" w:hAnsi="Times New Roman" w:eastAsia="Times New Roman" w:cs="Times New Roman"/>
          <w:spacing w:val="11"/>
        </w:rPr>
        <w:t>B </w:t>
      </w:r>
      <w:r>
        <w:rPr>
          <w:spacing w:val="11"/>
        </w:rPr>
        <w:t>值由招标人按下表规定确定，其中</w:t>
      </w:r>
      <w:r>
        <w:rPr>
          <w:rFonts w:ascii="Times New Roman" w:hAnsi="Times New Roman" w:eastAsia="Times New Roman" w:cs="Times New Roman"/>
          <w:spacing w:val="11"/>
        </w:rPr>
        <w:t>A </w:t>
      </w:r>
      <w:r>
        <w:rPr>
          <w:spacing w:val="11"/>
        </w:rPr>
        <w:t>值与</w:t>
      </w:r>
      <w:r>
        <w:rPr>
          <w:rFonts w:ascii="Times New Roman" w:hAnsi="Times New Roman" w:eastAsia="Times New Roman" w:cs="Times New Roman"/>
          <w:spacing w:val="11"/>
        </w:rPr>
        <w:t>B </w:t>
      </w:r>
      <w:r>
        <w:rPr>
          <w:spacing w:val="11"/>
        </w:rPr>
        <w:t>值的比值</w:t>
      </w:r>
      <w:r>
        <w:rPr>
          <w:spacing w:val="9"/>
        </w:rPr>
        <w:t>详见技术标一般评审因素表，所有技术标评分项的</w:t>
      </w:r>
      <w:r>
        <w:rPr>
          <w:rFonts w:ascii="Times New Roman" w:hAnsi="Times New Roman" w:eastAsia="Times New Roman" w:cs="Times New Roman"/>
          <w:spacing w:val="9"/>
        </w:rPr>
        <w:t>B </w:t>
      </w:r>
      <w:r>
        <w:rPr>
          <w:spacing w:val="9"/>
        </w:rPr>
        <w:t>值之和等</w:t>
      </w:r>
      <w:r>
        <w:rPr>
          <w:spacing w:val="8"/>
        </w:rPr>
        <w:t>于技术标分值）</w:t>
      </w:r>
    </w:p>
    <w:p>
      <w:pPr>
        <w:spacing w:line="402" w:lineRule="auto"/>
        <w:sectPr>
          <w:footerReference w:type="default" r:id="rId16"/>
          <w:pgSz w:w="11906" w:h="16839"/>
          <w:pgMar w:top="1431" w:right="1554" w:bottom="1156" w:left="1646" w:header="0" w:footer="992" w:gutter="0"/>
        </w:sectPr>
        <w:rPr/>
      </w:pP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50" w:right="136" w:firstLine="655"/>
        <w:spacing w:before="101" w:line="405" w:lineRule="auto"/>
        <w:jc w:val="both"/>
        <w:rPr/>
      </w:pPr>
      <w:r>
        <w:rPr>
          <w:spacing w:val="6"/>
        </w:rPr>
        <w:t>此项评分为：评标专家的有效评分大于等于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 </w:t>
      </w:r>
      <w:r>
        <w:rPr>
          <w:spacing w:val="6"/>
        </w:rPr>
        <w:t>个的，扣除</w:t>
      </w:r>
      <w:r>
        <w:rPr>
          <w:spacing w:val="8"/>
        </w:rPr>
        <w:t>一个最高总分和一个最低总分后的算术平均值，有效评分少于</w:t>
      </w:r>
      <w:r>
        <w:rPr>
          <w:rFonts w:ascii="Times New Roman" w:hAnsi="Times New Roman" w:eastAsia="Times New Roman" w:cs="Times New Roman"/>
          <w:spacing w:val="3"/>
        </w:rPr>
        <w:t>5 </w:t>
      </w:r>
      <w:r>
        <w:rPr>
          <w:spacing w:val="3"/>
        </w:rPr>
        <w:t>个的，按全部有效评分的算术平均值（保留小数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位）。</w:t>
      </w:r>
    </w:p>
    <w:p>
      <w:pPr>
        <w:pStyle w:val="BodyText"/>
        <w:ind w:left="144" w:right="133" w:firstLine="637"/>
        <w:spacing w:line="393" w:lineRule="auto"/>
        <w:jc w:val="both"/>
        <w:rPr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技术评审主要因素包括以下内容（技术标打分条款由招</w:t>
      </w:r>
      <w:r>
        <w:rPr>
          <w:spacing w:val="9"/>
        </w:rPr>
        <w:t>标人根据项目实际情况进行设置，可对下列评审</w:t>
      </w:r>
      <w:r>
        <w:rPr>
          <w:spacing w:val="8"/>
        </w:rPr>
        <w:t>因素作进一步</w:t>
      </w:r>
      <w:r>
        <w:rPr>
          <w:spacing w:val="3"/>
        </w:rPr>
        <w:t>具体完善，其中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3"/>
        </w:rPr>
        <w:t>～</w:t>
      </w:r>
      <w:r>
        <w:rPr>
          <w:rFonts w:ascii="Times New Roman" w:hAnsi="Times New Roman" w:eastAsia="Times New Roman" w:cs="Times New Roman"/>
          <w:spacing w:val="3"/>
        </w:rPr>
        <w:t>8 </w:t>
      </w:r>
      <w:r>
        <w:rPr>
          <w:spacing w:val="3"/>
        </w:rPr>
        <w:t>条不得修改、删除，第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 </w:t>
      </w:r>
      <w:r>
        <w:rPr>
          <w:spacing w:val="3"/>
        </w:rPr>
        <w:t>条可根据实际</w:t>
      </w:r>
      <w:r>
        <w:rPr>
          <w:spacing w:val="-3"/>
        </w:rPr>
        <w:t>情况填入具体评审因素）。</w:t>
      </w:r>
    </w:p>
    <w:p>
      <w:pPr>
        <w:ind w:left="3011"/>
        <w:spacing w:before="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技术标一般评审因素</w:t>
      </w:r>
    </w:p>
    <w:p>
      <w:pPr>
        <w:spacing w:line="11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7"/>
        <w:gridCol w:w="5577"/>
        <w:gridCol w:w="1424"/>
        <w:gridCol w:w="1073"/>
      </w:tblGrid>
      <w:tr>
        <w:trPr>
          <w:trHeight w:val="679" w:hRule="atLeast"/>
        </w:trPr>
        <w:tc>
          <w:tcPr>
            <w:tcW w:w="807" w:type="dxa"/>
            <w:vAlign w:val="top"/>
          </w:tcPr>
          <w:p>
            <w:pPr>
              <w:ind w:left="107"/>
              <w:spacing w:before="25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8"/>
              </w:rPr>
              <w:t>序号</w:t>
            </w:r>
          </w:p>
        </w:tc>
        <w:tc>
          <w:tcPr>
            <w:tcW w:w="5577" w:type="dxa"/>
            <w:vAlign w:val="top"/>
          </w:tcPr>
          <w:p>
            <w:pPr>
              <w:ind w:left="2195"/>
              <w:spacing w:before="25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6"/>
              </w:rPr>
              <w:t>评审因素</w:t>
            </w:r>
          </w:p>
        </w:tc>
        <w:tc>
          <w:tcPr>
            <w:tcW w:w="1424" w:type="dxa"/>
            <w:vAlign w:val="top"/>
          </w:tcPr>
          <w:p>
            <w:pPr>
              <w:ind w:left="122"/>
              <w:spacing w:before="25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7"/>
              </w:rPr>
              <w:t>分值权重</w:t>
            </w:r>
          </w:p>
        </w:tc>
        <w:tc>
          <w:tcPr>
            <w:tcW w:w="1073" w:type="dxa"/>
            <w:vAlign w:val="top"/>
          </w:tcPr>
          <w:p>
            <w:pPr>
              <w:ind w:left="288"/>
              <w:spacing w:before="257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32"/>
              </w:rPr>
              <w:t>比值</w:t>
            </w:r>
          </w:p>
        </w:tc>
      </w:tr>
      <w:tr>
        <w:trPr>
          <w:trHeight w:val="674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361"/>
              <w:spacing w:before="304" w:line="188" w:lineRule="auto"/>
              <w:rPr/>
            </w:pPr>
            <w:r>
              <w:rPr/>
              <w:t>1</w:t>
            </w:r>
          </w:p>
        </w:tc>
        <w:tc>
          <w:tcPr>
            <w:tcW w:w="5577" w:type="dxa"/>
            <w:vAlign w:val="top"/>
          </w:tcPr>
          <w:p>
            <w:pPr>
              <w:ind w:left="55"/>
              <w:spacing w:before="255" w:line="215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总体施工部署、场地平面布置及说明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56"/>
              <w:spacing w:before="304" w:line="188" w:lineRule="auto"/>
              <w:rPr/>
            </w:pPr>
            <w:r>
              <w:rPr>
                <w:spacing w:val="-1"/>
              </w:rPr>
              <w:t>≤15%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304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674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332"/>
              <w:spacing w:before="304" w:line="188" w:lineRule="auto"/>
              <w:rPr/>
            </w:pPr>
            <w:r>
              <w:rPr/>
              <w:t>2</w:t>
            </w:r>
          </w:p>
        </w:tc>
        <w:tc>
          <w:tcPr>
            <w:tcW w:w="5577" w:type="dxa"/>
            <w:vAlign w:val="top"/>
          </w:tcPr>
          <w:p>
            <w:pPr>
              <w:ind w:left="48"/>
              <w:spacing w:before="255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主要施工方案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56"/>
              <w:spacing w:before="304" w:line="188" w:lineRule="auto"/>
              <w:rPr/>
            </w:pPr>
            <w:r>
              <w:rPr>
                <w:spacing w:val="-1"/>
              </w:rPr>
              <w:t>≤15%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304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674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338"/>
              <w:spacing w:before="306" w:line="188" w:lineRule="auto"/>
              <w:rPr/>
            </w:pPr>
            <w:r>
              <w:rPr/>
              <w:t>3</w:t>
            </w:r>
          </w:p>
        </w:tc>
        <w:tc>
          <w:tcPr>
            <w:tcW w:w="5577" w:type="dxa"/>
            <w:vAlign w:val="top"/>
          </w:tcPr>
          <w:p>
            <w:pPr>
              <w:ind w:left="42"/>
              <w:spacing w:before="255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工程质量保障措施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56"/>
              <w:spacing w:before="306" w:line="188" w:lineRule="auto"/>
              <w:rPr/>
            </w:pPr>
            <w:r>
              <w:rPr>
                <w:spacing w:val="-1"/>
              </w:rPr>
              <w:t>≤10%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306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675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331"/>
              <w:spacing w:before="307" w:line="188" w:lineRule="auto"/>
              <w:rPr/>
            </w:pPr>
            <w:r>
              <w:rPr/>
              <w:t>4</w:t>
            </w:r>
          </w:p>
        </w:tc>
        <w:tc>
          <w:tcPr>
            <w:tcW w:w="5577" w:type="dxa"/>
            <w:vAlign w:val="top"/>
          </w:tcPr>
          <w:p>
            <w:pPr>
              <w:ind w:left="36"/>
              <w:spacing w:before="258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施工进度计划和保障措施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56"/>
              <w:spacing w:before="307" w:line="188" w:lineRule="auto"/>
              <w:rPr/>
            </w:pPr>
            <w:r>
              <w:rPr>
                <w:spacing w:val="-1"/>
              </w:rPr>
              <w:t>≤10%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307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675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341"/>
              <w:spacing w:before="310" w:line="185" w:lineRule="auto"/>
              <w:rPr/>
            </w:pPr>
            <w:r>
              <w:rPr/>
              <w:t>5</w:t>
            </w:r>
          </w:p>
        </w:tc>
        <w:tc>
          <w:tcPr>
            <w:tcW w:w="5577" w:type="dxa"/>
            <w:vAlign w:val="top"/>
          </w:tcPr>
          <w:p>
            <w:pPr>
              <w:ind w:left="42"/>
              <w:spacing w:before="257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安全生产、文明施工、环境保护措施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56"/>
              <w:spacing w:before="306" w:line="188" w:lineRule="auto"/>
              <w:rPr/>
            </w:pPr>
            <w:r>
              <w:rPr>
                <w:spacing w:val="-1"/>
              </w:rPr>
              <w:t>≤15%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306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675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339"/>
              <w:spacing w:before="307" w:line="188" w:lineRule="auto"/>
              <w:rPr/>
            </w:pPr>
            <w:r>
              <w:rPr/>
              <w:t>6</w:t>
            </w:r>
          </w:p>
        </w:tc>
        <w:tc>
          <w:tcPr>
            <w:tcW w:w="5577" w:type="dxa"/>
            <w:vAlign w:val="top"/>
          </w:tcPr>
          <w:p>
            <w:pPr>
              <w:ind w:left="38"/>
              <w:spacing w:before="257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项目管理人员配置情况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56"/>
              <w:spacing w:before="307" w:line="188" w:lineRule="auto"/>
              <w:rPr/>
            </w:pPr>
            <w:r>
              <w:rPr>
                <w:spacing w:val="-1"/>
              </w:rPr>
              <w:t>≤10%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307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675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337"/>
              <w:spacing w:before="311" w:line="185" w:lineRule="auto"/>
              <w:rPr/>
            </w:pPr>
            <w:r>
              <w:rPr/>
              <w:t>7</w:t>
            </w:r>
          </w:p>
        </w:tc>
        <w:tc>
          <w:tcPr>
            <w:tcW w:w="5577" w:type="dxa"/>
            <w:vAlign w:val="top"/>
          </w:tcPr>
          <w:p>
            <w:pPr>
              <w:ind w:left="48"/>
              <w:spacing w:before="25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主要施工设备配置情况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433"/>
              <w:spacing w:before="307" w:line="188" w:lineRule="auto"/>
              <w:rPr/>
            </w:pPr>
            <w:r>
              <w:rPr>
                <w:spacing w:val="-2"/>
              </w:rPr>
              <w:t>≤5%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307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1267" w:hRule="atLeast"/>
        </w:trPr>
        <w:tc>
          <w:tcPr>
            <w:tcW w:w="80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86" w:line="188" w:lineRule="auto"/>
              <w:rPr/>
            </w:pPr>
            <w:r>
              <w:rPr/>
              <w:t>8</w:t>
            </w:r>
          </w:p>
        </w:tc>
        <w:tc>
          <w:tcPr>
            <w:tcW w:w="5577" w:type="dxa"/>
            <w:vAlign w:val="top"/>
          </w:tcPr>
          <w:p>
            <w:pPr>
              <w:ind w:left="37" w:right="23" w:hanging="8"/>
              <w:spacing w:before="262" w:line="30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6"/>
              </w:rPr>
              <w:t>针对本工程的重点、难点和关键部分进行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分析并阐明可行的施工组织方案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spacing w:before="261" w:line="219" w:lineRule="auto"/>
              <w:jc w:val="right"/>
              <w:rPr>
                <w:rFonts w:ascii="FangSong" w:hAnsi="FangSong" w:eastAsia="FangSong" w:cs="FangSong"/>
              </w:rPr>
            </w:pPr>
            <w:r>
              <w:rPr>
                <w:spacing w:val="-11"/>
              </w:rPr>
              <w:t>20%</w:t>
            </w:r>
            <w:r>
              <w:rPr>
                <w:rFonts w:ascii="FangSong" w:hAnsi="FangSong" w:eastAsia="FangSong" w:cs="FangSong"/>
                <w:spacing w:val="-11"/>
              </w:rPr>
              <w:t>（含）</w:t>
            </w:r>
          </w:p>
          <w:p>
            <w:pPr>
              <w:pStyle w:val="TableText"/>
              <w:spacing w:before="224" w:line="219" w:lineRule="auto"/>
              <w:jc w:val="right"/>
              <w:rPr>
                <w:rFonts w:ascii="FangSong" w:hAnsi="FangSong" w:eastAsia="FangSong" w:cs="FangSong"/>
              </w:rPr>
            </w:pPr>
            <w:r>
              <w:rPr>
                <w:spacing w:val="-25"/>
              </w:rPr>
              <w:t>-40%</w:t>
            </w:r>
            <w:r>
              <w:rPr>
                <w:rFonts w:ascii="FangSong" w:hAnsi="FangSong" w:eastAsia="FangSong" w:cs="FangSong"/>
                <w:spacing w:val="-25"/>
              </w:rPr>
              <w:t>（含）</w:t>
            </w:r>
          </w:p>
        </w:tc>
        <w:tc>
          <w:tcPr>
            <w:tcW w:w="107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86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610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338"/>
              <w:spacing w:before="275" w:line="188" w:lineRule="auto"/>
              <w:rPr/>
            </w:pPr>
            <w:r>
              <w:rPr/>
              <w:t>9</w:t>
            </w:r>
          </w:p>
        </w:tc>
        <w:tc>
          <w:tcPr>
            <w:tcW w:w="5577" w:type="dxa"/>
            <w:vAlign w:val="top"/>
          </w:tcPr>
          <w:p>
            <w:pPr>
              <w:ind w:left="38"/>
              <w:spacing w:before="226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投标人陈述和答辩（若有）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56"/>
              <w:spacing w:before="275" w:line="188" w:lineRule="auto"/>
              <w:rPr/>
            </w:pPr>
            <w:r>
              <w:rPr>
                <w:spacing w:val="-1"/>
              </w:rPr>
              <w:t>≤20%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275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614" w:hRule="atLeast"/>
        </w:trPr>
        <w:tc>
          <w:tcPr>
            <w:tcW w:w="807" w:type="dxa"/>
            <w:vAlign w:val="top"/>
          </w:tcPr>
          <w:p>
            <w:pPr>
              <w:pStyle w:val="TableText"/>
              <w:ind w:left="284"/>
              <w:spacing w:before="274" w:line="188" w:lineRule="auto"/>
              <w:rPr/>
            </w:pPr>
            <w:r>
              <w:rPr>
                <w:spacing w:val="-17"/>
              </w:rPr>
              <w:t>10</w:t>
            </w:r>
          </w:p>
        </w:tc>
        <w:tc>
          <w:tcPr>
            <w:tcW w:w="5577" w:type="dxa"/>
            <w:vAlign w:val="top"/>
          </w:tcPr>
          <w:p>
            <w:pPr>
              <w:ind w:left="35"/>
              <w:spacing w:before="226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其他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ind w:left="356"/>
              <w:spacing w:before="274" w:line="188" w:lineRule="auto"/>
              <w:rPr/>
            </w:pPr>
            <w:r>
              <w:rPr>
                <w:spacing w:val="-1"/>
              </w:rPr>
              <w:t>≤10%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180"/>
              <w:spacing w:before="274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510" w:bottom="1157" w:left="1509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1" w:right="91" w:firstLine="649"/>
        <w:spacing w:before="101" w:line="404" w:lineRule="auto"/>
        <w:rPr/>
      </w:pPr>
      <w:r>
        <w:rPr>
          <w:spacing w:val="8"/>
        </w:rPr>
        <w:t>注：技术标评审通过的但技术标某评审项缺项的，该项得</w:t>
      </w:r>
      <w:r>
        <w:rPr>
          <w:rFonts w:ascii="Times New Roman" w:hAnsi="Times New Roman" w:eastAsia="Times New Roman" w:cs="Times New Roman"/>
          <w:spacing w:val="-5"/>
        </w:rPr>
        <w:t>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5"/>
        </w:rPr>
        <w:t>分。</w:t>
      </w:r>
    </w:p>
    <w:p>
      <w:pPr>
        <w:pStyle w:val="BodyText"/>
        <w:spacing w:line="220" w:lineRule="auto"/>
        <w:jc w:val="right"/>
        <w:rPr/>
      </w:pPr>
      <w:r>
        <w:rPr>
          <w:rFonts w:ascii="Times New Roman" w:hAnsi="Times New Roman" w:eastAsia="Times New Roman" w:cs="Times New Roman"/>
          <w:spacing w:val="-9"/>
        </w:rPr>
        <w:t>3.</w:t>
      </w:r>
      <w:r>
        <w:rPr>
          <w:spacing w:val="-9"/>
        </w:rPr>
        <w:t>投标人陈述和答辩（选择项，分值应按照上表要求设置）。</w:t>
      </w:r>
    </w:p>
    <w:p>
      <w:pPr>
        <w:pStyle w:val="BodyText"/>
        <w:ind w:left="12" w:right="91" w:firstLine="640"/>
        <w:spacing w:before="313" w:line="404" w:lineRule="auto"/>
        <w:rPr/>
      </w:pPr>
      <w:r>
        <w:rPr>
          <w:spacing w:val="21"/>
        </w:rPr>
        <w:t>评标委员会对通过技术标评审和符合性评审的投标人进</w:t>
      </w:r>
      <w:r>
        <w:rPr>
          <w:spacing w:val="-1"/>
        </w:rPr>
        <w:t>行（</w:t>
      </w:r>
      <w:r>
        <w:rPr>
          <w:spacing w:val="-59"/>
        </w:rPr>
        <w:t xml:space="preserve"> </w:t>
      </w:r>
      <w:r>
        <w:rPr>
          <w:spacing w:val="-1"/>
        </w:rPr>
        <w:t>陈述和答辩）评审：</w:t>
      </w:r>
    </w:p>
    <w:p>
      <w:pPr>
        <w:pStyle w:val="BodyText"/>
        <w:spacing w:before="1" w:line="221" w:lineRule="auto"/>
        <w:jc w:val="right"/>
        <w:rPr/>
      </w:pPr>
      <w:r>
        <w:rPr>
          <w:spacing w:val="2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）陈述和答辩具体要求见投标人须知前附表第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"/>
        </w:rPr>
        <w:t>0.5</w:t>
      </w:r>
      <w:r>
        <w:rPr>
          <w:spacing w:val="1"/>
        </w:rPr>
        <w:t>款。</w:t>
      </w:r>
    </w:p>
    <w:p>
      <w:pPr>
        <w:pStyle w:val="BodyText"/>
        <w:ind w:left="14" w:right="7" w:firstLine="630"/>
        <w:spacing w:before="305" w:line="379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）评标委员会各成员对答辩人的陈述答辩情况独立评</w:t>
      </w:r>
      <w:r>
        <w:rPr>
          <w:spacing w:val="10"/>
        </w:rPr>
        <w:t>分并署名（保留</w:t>
      </w:r>
      <w:r>
        <w:rPr>
          <w:rFonts w:ascii="Times New Roman" w:hAnsi="Times New Roman" w:eastAsia="Times New Roman" w:cs="Times New Roman"/>
          <w:spacing w:val="10"/>
        </w:rPr>
        <w:t>2 </w:t>
      </w:r>
      <w:r>
        <w:rPr>
          <w:spacing w:val="10"/>
        </w:rPr>
        <w:t>位小数）。</w:t>
      </w:r>
      <w:r>
        <w:rPr>
          <w:spacing w:val="-82"/>
        </w:rPr>
        <w:t xml:space="preserve"> </w:t>
      </w:r>
      <w:r>
        <w:rPr>
          <w:spacing w:val="10"/>
        </w:rPr>
        <w:t>陈述和答辩评分范围在</w:t>
      </w:r>
      <w:r>
        <w:rPr>
          <w:rFonts w:ascii="Times New Roman" w:hAnsi="Times New Roman" w:eastAsia="Times New Roman" w:cs="Times New Roman"/>
          <w:spacing w:val="10"/>
        </w:rPr>
        <w:t>a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10"/>
        </w:rPr>
        <w:t>至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b </w:t>
      </w:r>
      <w:r>
        <w:rPr>
          <w:spacing w:val="10"/>
        </w:rPr>
        <w:t>分</w:t>
      </w:r>
      <w:r>
        <w:rPr>
          <w:spacing w:val="4"/>
        </w:rPr>
        <w:t>之间（含本数，</w:t>
      </w:r>
      <w:r>
        <w:rPr>
          <w:rFonts w:ascii="Times New Roman" w:hAnsi="Times New Roman" w:eastAsia="Times New Roman" w:cs="Times New Roman"/>
          <w:spacing w:val="4"/>
        </w:rPr>
        <w:t>b/a≥60%</w:t>
      </w:r>
      <w:r>
        <w:rPr>
          <w:spacing w:val="-6"/>
        </w:rPr>
        <w:t>），</w:t>
      </w:r>
      <w:r>
        <w:rPr>
          <w:spacing w:val="4"/>
        </w:rPr>
        <w:t>除答辩人自动放弃陈述和答辩按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spacing w:val="5"/>
        </w:rPr>
        <w:t>分处理外，对低于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b </w:t>
      </w:r>
      <w:r>
        <w:rPr>
          <w:spacing w:val="5"/>
        </w:rPr>
        <w:t>分或高于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a </w:t>
      </w:r>
      <w:r>
        <w:rPr>
          <w:spacing w:val="5"/>
        </w:rPr>
        <w:t>分的评分表作无效处理。</w:t>
      </w:r>
      <w:r>
        <w:rPr>
          <w:spacing w:val="-85"/>
        </w:rPr>
        <w:t xml:space="preserve"> </w:t>
      </w:r>
      <w:r>
        <w:rPr>
          <w:spacing w:val="5"/>
        </w:rPr>
        <w:t>陈述</w:t>
      </w:r>
      <w:r>
        <w:rPr/>
        <w:t>和答辩最终得分：评标委员会成员的有效评分大于等于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个的，</w:t>
      </w:r>
      <w:r>
        <w:rPr>
          <w:spacing w:val="8"/>
        </w:rPr>
        <w:t>扣除一个最高分和一个最低分后的算术平均值，有效评分少于</w:t>
      </w:r>
      <w:r>
        <w:rPr>
          <w:rFonts w:ascii="Times New Roman" w:hAnsi="Times New Roman" w:eastAsia="Times New Roman" w:cs="Times New Roman"/>
          <w:spacing w:val="7"/>
        </w:rPr>
        <w:t>5 </w:t>
      </w:r>
      <w:r>
        <w:rPr>
          <w:spacing w:val="7"/>
        </w:rPr>
        <w:t>个的，按全部有效评分的算术平均值（保留小数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 </w:t>
      </w:r>
      <w:r>
        <w:rPr>
          <w:spacing w:val="7"/>
        </w:rPr>
        <w:t>位）。</w:t>
      </w:r>
    </w:p>
    <w:p>
      <w:pPr>
        <w:ind w:right="91" w:firstLine="645"/>
        <w:spacing w:before="308" w:line="316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二）适用于技术标通过制的综合评估法和经评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审的最低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投标价法</w:t>
      </w:r>
    </w:p>
    <w:p>
      <w:pPr>
        <w:pStyle w:val="BodyText"/>
        <w:ind w:left="9" w:right="89" w:firstLine="648"/>
        <w:spacing w:before="297" w:line="405" w:lineRule="auto"/>
        <w:jc w:val="both"/>
        <w:rPr/>
      </w:pPr>
      <w:r>
        <w:rPr>
          <w:spacing w:val="9"/>
        </w:rPr>
        <w:t>招标人选择不开展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技术标评审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的，投标人无需提供技术</w:t>
      </w:r>
      <w:r>
        <w:rPr>
          <w:spacing w:val="8"/>
        </w:rPr>
        <w:t>标文件，提供技术标文件的，评标委员会将不对其技术标部分</w:t>
      </w:r>
      <w:r>
        <w:rPr>
          <w:spacing w:val="5"/>
        </w:rPr>
        <w:t>进行评审。</w:t>
      </w:r>
    </w:p>
    <w:p>
      <w:pPr>
        <w:ind w:left="645"/>
        <w:spacing w:before="1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7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三）适用于技术标通过制的综合评估法</w:t>
      </w:r>
    </w:p>
    <w:p>
      <w:pPr>
        <w:spacing w:line="220" w:lineRule="auto"/>
        <w:sectPr>
          <w:footerReference w:type="default" r:id="rId18"/>
          <w:pgSz w:w="11906" w:h="16839"/>
          <w:pgMar w:top="1431" w:right="1554" w:bottom="1156" w:left="1643" w:header="0" w:footer="992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30" w:right="31" w:firstLine="623"/>
        <w:spacing w:before="101" w:line="405" w:lineRule="auto"/>
        <w:jc w:val="both"/>
        <w:rPr/>
      </w:pPr>
      <w:r>
        <w:rPr>
          <w:spacing w:val="8"/>
        </w:rPr>
        <w:t>投标人陈述和答辩（选择项，由招标人在招标文件编制时</w:t>
      </w:r>
      <w:r>
        <w:rPr>
          <w:spacing w:val="7"/>
        </w:rPr>
        <w:t>自行选择，选择时分值固定为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 </w:t>
      </w:r>
      <w:r>
        <w:rPr>
          <w:spacing w:val="7"/>
        </w:rPr>
        <w:t>分，不选择时将分值列</w:t>
      </w:r>
      <w:r>
        <w:rPr>
          <w:spacing w:val="6"/>
        </w:rPr>
        <w:t>入商务</w:t>
      </w:r>
      <w:r>
        <w:rPr>
          <w:spacing w:val="-2"/>
        </w:rPr>
        <w:t>总报价分值，综合评审总分为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100 </w:t>
      </w:r>
      <w:r>
        <w:rPr>
          <w:spacing w:val="-2"/>
        </w:rPr>
        <w:t>分）。</w:t>
      </w:r>
    </w:p>
    <w:p>
      <w:pPr>
        <w:pStyle w:val="BodyText"/>
        <w:ind w:left="9" w:right="33" w:firstLine="640"/>
        <w:spacing w:before="1" w:line="404" w:lineRule="auto"/>
        <w:rPr/>
      </w:pPr>
      <w:r>
        <w:rPr>
          <w:spacing w:val="21"/>
        </w:rPr>
        <w:t>评标委员会对通过技术标评审和符合性评审的投标人进</w:t>
      </w:r>
      <w:r>
        <w:rPr>
          <w:spacing w:val="-1"/>
        </w:rPr>
        <w:t>行（</w:t>
      </w:r>
      <w:r>
        <w:rPr>
          <w:spacing w:val="-59"/>
        </w:rPr>
        <w:t xml:space="preserve"> </w:t>
      </w:r>
      <w:r>
        <w:rPr>
          <w:spacing w:val="-1"/>
        </w:rPr>
        <w:t>陈述和答辩）评审：</w:t>
      </w:r>
    </w:p>
    <w:p>
      <w:pPr>
        <w:pStyle w:val="BodyText"/>
        <w:spacing w:before="1" w:line="221" w:lineRule="auto"/>
        <w:jc w:val="right"/>
        <w:rPr/>
      </w:pPr>
      <w:r>
        <w:rPr>
          <w:spacing w:val="2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）陈述和答辩具体要求见投标人须知前附表第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"/>
        </w:rPr>
        <w:t>0.5</w:t>
      </w:r>
      <w:r>
        <w:rPr>
          <w:spacing w:val="1"/>
        </w:rPr>
        <w:t>款。</w:t>
      </w:r>
    </w:p>
    <w:p>
      <w:pPr>
        <w:pStyle w:val="BodyText"/>
        <w:ind w:left="7" w:right="31" w:firstLine="635"/>
        <w:spacing w:before="305" w:line="379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）评标委员会各成员对答辩人的陈述答辩情况独立评</w:t>
      </w:r>
      <w:r>
        <w:rPr>
          <w:spacing w:val="6"/>
        </w:rPr>
        <w:t>分并署名（保留</w:t>
      </w:r>
      <w:r>
        <w:rPr>
          <w:rFonts w:ascii="Times New Roman" w:hAnsi="Times New Roman" w:eastAsia="Times New Roman" w:cs="Times New Roman"/>
          <w:spacing w:val="6"/>
        </w:rPr>
        <w:t>2 </w:t>
      </w:r>
      <w:r>
        <w:rPr>
          <w:spacing w:val="6"/>
        </w:rPr>
        <w:t>位小数）。</w:t>
      </w:r>
      <w:r>
        <w:rPr>
          <w:spacing w:val="-79"/>
        </w:rPr>
        <w:t xml:space="preserve"> </w:t>
      </w:r>
      <w:r>
        <w:rPr>
          <w:spacing w:val="6"/>
        </w:rPr>
        <w:t>陈述和答辩评分范围在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6"/>
        </w:rPr>
        <w:t>至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 </w:t>
      </w:r>
      <w:r>
        <w:rPr>
          <w:spacing w:val="6"/>
        </w:rPr>
        <w:t>分</w:t>
      </w:r>
      <w:r>
        <w:rPr>
          <w:spacing w:val="8"/>
        </w:rPr>
        <w:t>之间，除答辩人自动放弃陈述和答辩按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 </w:t>
      </w:r>
      <w:r>
        <w:rPr>
          <w:spacing w:val="8"/>
        </w:rPr>
        <w:t>分处理外，对低于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5"/>
        </w:rPr>
        <w:t>分或高于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 </w:t>
      </w:r>
      <w:r>
        <w:rPr>
          <w:spacing w:val="5"/>
        </w:rPr>
        <w:t>分的评分表作无效处理。</w:t>
      </w:r>
      <w:r>
        <w:rPr>
          <w:spacing w:val="-93"/>
        </w:rPr>
        <w:t xml:space="preserve"> </w:t>
      </w:r>
      <w:r>
        <w:rPr>
          <w:spacing w:val="5"/>
        </w:rPr>
        <w:t>陈述和答辩最终得分：评</w:t>
      </w:r>
      <w:r>
        <w:rPr>
          <w:spacing w:val="8"/>
        </w:rPr>
        <w:t>标委员会成员的有效评分大于等于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 </w:t>
      </w:r>
      <w:r>
        <w:rPr>
          <w:spacing w:val="8"/>
        </w:rPr>
        <w:t>个的，扣除一</w:t>
      </w:r>
      <w:r>
        <w:rPr>
          <w:spacing w:val="7"/>
        </w:rPr>
        <w:t>个最高分和</w:t>
      </w:r>
      <w:r>
        <w:rPr>
          <w:spacing w:val="8"/>
        </w:rPr>
        <w:t>一个最低分后的算术平均值，有效评分少于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 </w:t>
      </w:r>
      <w:r>
        <w:rPr>
          <w:spacing w:val="7"/>
        </w:rPr>
        <w:t>个的，按全部有</w:t>
      </w:r>
      <w:r>
        <w:rPr>
          <w:spacing w:val="7"/>
        </w:rPr>
        <w:t>效评分的算术平均值（保留小数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 </w:t>
      </w:r>
      <w:r>
        <w:rPr>
          <w:spacing w:val="7"/>
        </w:rPr>
        <w:t>位）。</w:t>
      </w:r>
    </w:p>
    <w:p>
      <w:pPr>
        <w:ind w:left="659"/>
        <w:spacing w:before="306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五、资信标部分</w:t>
      </w:r>
    </w:p>
    <w:p>
      <w:pPr>
        <w:ind w:left="642"/>
        <w:spacing w:before="299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一）适用于技术标打分制的综合评估法</w:t>
      </w:r>
    </w:p>
    <w:p>
      <w:pPr>
        <w:pStyle w:val="BodyText"/>
        <w:ind w:right="31" w:firstLine="664"/>
        <w:spacing w:before="314" w:line="405" w:lineRule="auto"/>
        <w:jc w:val="both"/>
        <w:rPr/>
      </w:pPr>
      <w:r>
        <w:rPr>
          <w:spacing w:val="8"/>
        </w:rPr>
        <w:t>资信分可根据投标单位的类似工程业绩、建设主管</w:t>
      </w:r>
      <w:r>
        <w:rPr>
          <w:spacing w:val="7"/>
        </w:rPr>
        <w:t>部门的</w:t>
      </w:r>
      <w:r>
        <w:rPr>
          <w:spacing w:val="9"/>
        </w:rPr>
        <w:t>信用评价体系、项目负责人及项目班子人员能力等因素进行设</w:t>
      </w:r>
      <w:r>
        <w:rPr>
          <w:spacing w:val="21"/>
        </w:rPr>
        <w:t>置，具体内容和分值由招标人按资信评审因素表要求自行确</w:t>
      </w:r>
      <w:r>
        <w:rPr>
          <w:spacing w:val="9"/>
        </w:rPr>
        <w:t>定，招标人可视情不设置某项评审因素，所有进入资信评审环</w:t>
      </w:r>
    </w:p>
    <w:p>
      <w:pPr>
        <w:spacing w:line="405" w:lineRule="auto"/>
        <w:sectPr>
          <w:footerReference w:type="default" r:id="rId19"/>
          <w:pgSz w:w="11906" w:h="16839"/>
          <w:pgMar w:top="1431" w:right="1612" w:bottom="1157" w:left="1646" w:header="0" w:footer="992" w:gutter="0"/>
        </w:sectPr>
        <w:rPr/>
      </w:pP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101" w:line="222" w:lineRule="auto"/>
        <w:rPr/>
      </w:pPr>
      <w:r>
        <w:rPr>
          <w:spacing w:val="7"/>
        </w:rPr>
        <w:t>节的投标人自动获得该项分值。</w:t>
      </w:r>
    </w:p>
    <w:p>
      <w:pPr>
        <w:pStyle w:val="BodyText"/>
        <w:ind w:right="74" w:firstLine="650"/>
        <w:spacing w:before="305" w:line="405" w:lineRule="auto"/>
        <w:rPr/>
      </w:pPr>
      <w:r>
        <w:rPr>
          <w:spacing w:val="8"/>
        </w:rPr>
        <w:t>评标委员会对通过资格审查、初步评审、技术标评审的投</w:t>
      </w:r>
      <w:r>
        <w:rPr>
          <w:spacing w:val="9"/>
        </w:rPr>
        <w:t>标文件进行资信评审。（信用评分应统一采用省建设厅发布的</w:t>
      </w:r>
      <w:r>
        <w:rPr>
          <w:spacing w:val="-6"/>
        </w:rPr>
        <w:t>信用评价标准，信用评价等级以投标截止时间上一旬（</w:t>
      </w:r>
      <w:r>
        <w:rPr>
          <w:spacing w:val="-54"/>
        </w:rPr>
        <w:t xml:space="preserve"> </w:t>
      </w:r>
      <w:r>
        <w:rPr>
          <w:spacing w:val="-6"/>
        </w:rPr>
        <w:t>即投标截</w:t>
      </w:r>
      <w:r>
        <w:rPr>
          <w:spacing w:val="-7"/>
        </w:rPr>
        <w:t>止时间在当月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1-10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7"/>
        </w:rPr>
        <w:t>号的，以上月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21-31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7"/>
        </w:rPr>
        <w:t>号发布的最新一期企业信</w:t>
      </w:r>
      <w:r>
        <w:rPr>
          <w:spacing w:val="-8"/>
        </w:rPr>
        <w:t>用等级为准；投标截止时间在当月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11-20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号的，以当月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1-10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号发</w:t>
      </w:r>
      <w:r>
        <w:rPr>
          <w:spacing w:val="-2"/>
        </w:rPr>
        <w:t>布的最新一期企业信用等级为准；投标截止时间在当月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21-31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号</w:t>
      </w:r>
      <w:r>
        <w:rPr>
          <w:spacing w:val="-5"/>
        </w:rPr>
        <w:t>的，</w:t>
      </w:r>
      <w:r>
        <w:rPr>
          <w:spacing w:val="-92"/>
        </w:rPr>
        <w:t xml:space="preserve"> </w:t>
      </w:r>
      <w:r>
        <w:rPr>
          <w:spacing w:val="-5"/>
        </w:rPr>
        <w:t>以当月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11-20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5"/>
        </w:rPr>
        <w:t>号发布的最新一期企业信用等级为准）全省建</w:t>
      </w:r>
      <w:r>
        <w:rPr>
          <w:spacing w:val="4"/>
        </w:rPr>
        <w:t>筑施工企业信用评价管理系统发布的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建筑施工企业信</w:t>
      </w:r>
      <w:r>
        <w:rPr>
          <w:spacing w:val="3"/>
        </w:rPr>
        <w:t>用评价等</w:t>
      </w:r>
      <w:r>
        <w:rPr>
          <w:spacing w:val="4"/>
        </w:rPr>
        <w:t>级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为准；联合体投标的，以联合体牵头人为准；跨</w:t>
      </w:r>
      <w:r>
        <w:rPr>
          <w:spacing w:val="3"/>
        </w:rPr>
        <w:t>行业组成联</w:t>
      </w:r>
      <w:r>
        <w:rPr>
          <w:spacing w:val="4"/>
        </w:rPr>
        <w:t>合体的，</w:t>
      </w:r>
      <w:r>
        <w:rPr>
          <w:spacing w:val="-85"/>
        </w:rPr>
        <w:t xml:space="preserve"> </w:t>
      </w:r>
      <w:r>
        <w:rPr>
          <w:spacing w:val="4"/>
        </w:rPr>
        <w:t>以承担本行业工作任务较多的施工企业的信用为准；</w:t>
      </w:r>
    </w:p>
    <w:p>
      <w:pPr>
        <w:pStyle w:val="BodyText"/>
        <w:ind w:left="2" w:firstLine="17"/>
        <w:spacing w:before="1" w:line="405" w:lineRule="auto"/>
        <w:rPr/>
      </w:pPr>
      <w:r>
        <w:rPr>
          <w:spacing w:val="8"/>
        </w:rPr>
        <w:t>如项目同时涉及房建和市政两项工作，联合体投标的，以联合</w:t>
      </w:r>
      <w:r>
        <w:rPr>
          <w:spacing w:val="9"/>
        </w:rPr>
        <w:t>体牵头人为准，独立投标的，以项目所涉的主要工作</w:t>
      </w:r>
      <w:r>
        <w:rPr>
          <w:spacing w:val="8"/>
        </w:rPr>
        <w:t>项所对应</w:t>
      </w:r>
      <w:r>
        <w:rPr>
          <w:spacing w:val="9"/>
        </w:rPr>
        <w:t>的企业信用为准，由招标人在编制招标文件时视项目</w:t>
      </w:r>
      <w:r>
        <w:rPr>
          <w:spacing w:val="8"/>
        </w:rPr>
        <w:t>具体情况</w:t>
      </w:r>
      <w:r>
        <w:rPr>
          <w:spacing w:val="9"/>
        </w:rPr>
        <w:t>选择房建或市政之一作为主要工作项，未提供或者提供不</w:t>
      </w:r>
      <w:r>
        <w:rPr>
          <w:spacing w:val="8"/>
        </w:rPr>
        <w:t>全的</w:t>
      </w:r>
      <w:r>
        <w:rPr>
          <w:spacing w:val="7"/>
        </w:rPr>
        <w:t>投标人按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7"/>
        </w:rPr>
        <w:t>分计；投标人拟派项目负责人信用评价得分：信用</w:t>
      </w:r>
      <w:r>
        <w:rPr>
          <w:spacing w:val="-8"/>
        </w:rPr>
        <w:t>评价以投标截止时间上一旬（</w:t>
      </w:r>
      <w:r>
        <w:rPr>
          <w:spacing w:val="-69"/>
        </w:rPr>
        <w:t xml:space="preserve"> </w:t>
      </w:r>
      <w:r>
        <w:rPr>
          <w:spacing w:val="-8"/>
        </w:rPr>
        <w:t>即投标截止时间在当月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1-</w:t>
      </w:r>
      <w:r>
        <w:rPr>
          <w:rFonts w:ascii="Times New Roman" w:hAnsi="Times New Roman" w:eastAsia="Times New Roman" w:cs="Times New Roman"/>
          <w:spacing w:val="-9"/>
        </w:rPr>
        <w:t>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9"/>
        </w:rPr>
        <w:t>号的，</w:t>
      </w:r>
      <w:r>
        <w:rPr/>
        <w:t>以上月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</w:rPr>
        <w:t>21-31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/>
        <w:t>号发布的最新一期得分为准；投标截止时间在当月</w:t>
      </w:r>
      <w:r>
        <w:rPr>
          <w:rFonts w:ascii="Times New Roman" w:hAnsi="Times New Roman" w:eastAsia="Times New Roman" w:cs="Times New Roman"/>
          <w:spacing w:val="-5"/>
        </w:rPr>
        <w:t>11-20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5"/>
        </w:rPr>
        <w:t>号的，以当月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1-10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5"/>
        </w:rPr>
        <w:t>号发布的最新一期得分为准；投标截止</w:t>
      </w:r>
    </w:p>
    <w:p>
      <w:pPr>
        <w:spacing w:line="405" w:lineRule="auto"/>
        <w:sectPr>
          <w:footerReference w:type="default" r:id="rId20"/>
          <w:pgSz w:w="11906" w:h="16839"/>
          <w:pgMar w:top="1431" w:right="1567" w:bottom="1157" w:left="1646" w:header="0" w:footer="992" w:gutter="0"/>
        </w:sectPr>
        <w:rPr/>
      </w:pP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358" w:right="192" w:firstLine="29"/>
        <w:spacing w:before="101" w:line="402" w:lineRule="auto"/>
        <w:jc w:val="both"/>
        <w:rPr>
          <w:rFonts w:ascii="Times New Roman" w:hAnsi="Times New Roman" w:eastAsia="Times New Roman" w:cs="Times New Roman"/>
        </w:rPr>
      </w:pPr>
      <w:r>
        <w:rPr>
          <w:spacing w:val="-9"/>
        </w:rPr>
        <w:t>时间在当月</w:t>
      </w:r>
      <w:r>
        <w:rPr>
          <w:rFonts w:ascii="Times New Roman" w:hAnsi="Times New Roman" w:eastAsia="Times New Roman" w:cs="Times New Roman"/>
          <w:spacing w:val="-9"/>
        </w:rPr>
        <w:t>21-31 </w:t>
      </w:r>
      <w:r>
        <w:rPr>
          <w:spacing w:val="-9"/>
        </w:rPr>
        <w:t>号的，以当月</w:t>
      </w:r>
      <w:r>
        <w:rPr>
          <w:rFonts w:ascii="Times New Roman" w:hAnsi="Times New Roman" w:eastAsia="Times New Roman" w:cs="Times New Roman"/>
          <w:spacing w:val="-9"/>
        </w:rPr>
        <w:t>11-20 </w:t>
      </w:r>
      <w:r>
        <w:rPr>
          <w:spacing w:val="-9"/>
        </w:rPr>
        <w:t>号发布的最新一期得分为准）</w:t>
      </w:r>
      <w:r>
        <w:rPr>
          <w:spacing w:val="9"/>
        </w:rPr>
        <w:t>全省注册建造师信用评价管理应用发布的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注册建造师得分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为</w:t>
      </w:r>
      <w:r>
        <w:rPr>
          <w:spacing w:val="21"/>
        </w:rPr>
        <w:t>准，提供多个拟派项目负责人的以信用评价得分低的</w:t>
      </w:r>
      <w:r>
        <w:rPr>
          <w:spacing w:val="20"/>
        </w:rPr>
        <w:t>人员为</w:t>
      </w:r>
      <w:r>
        <w:rPr>
          <w:spacing w:val="7"/>
        </w:rPr>
        <w:t>准，未提供或者提供不全的按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0 </w:t>
      </w:r>
      <w:r>
        <w:rPr>
          <w:spacing w:val="7"/>
        </w:rPr>
        <w:t>分计。</w:t>
      </w:r>
      <w:r>
        <w:rPr>
          <w:rFonts w:ascii="Times New Roman" w:hAnsi="Times New Roman" w:eastAsia="Times New Roman" w:cs="Times New Roman"/>
          <w:spacing w:val="7"/>
        </w:rPr>
        <w:t>)</w:t>
      </w:r>
    </w:p>
    <w:p>
      <w:pPr>
        <w:ind w:left="3558"/>
        <w:spacing w:before="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资信评审因素表</w:t>
      </w:r>
    </w:p>
    <w:p>
      <w:pPr>
        <w:spacing w:line="28" w:lineRule="exact"/>
        <w:rPr/>
      </w:pPr>
      <w:r/>
    </w:p>
    <w:tbl>
      <w:tblPr>
        <w:tblStyle w:val="TableNormal"/>
        <w:tblW w:w="93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46"/>
        <w:gridCol w:w="5960"/>
        <w:gridCol w:w="1402"/>
      </w:tblGrid>
      <w:tr>
        <w:trPr>
          <w:trHeight w:val="589" w:hRule="atLeast"/>
        </w:trPr>
        <w:tc>
          <w:tcPr>
            <w:tcW w:w="1946" w:type="dxa"/>
            <w:vAlign w:val="top"/>
          </w:tcPr>
          <w:p>
            <w:pPr>
              <w:ind w:left="428"/>
              <w:spacing w:before="214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8"/>
              </w:rPr>
              <w:t>评审因素</w:t>
            </w:r>
          </w:p>
        </w:tc>
        <w:tc>
          <w:tcPr>
            <w:tcW w:w="5960" w:type="dxa"/>
            <w:vAlign w:val="top"/>
          </w:tcPr>
          <w:p>
            <w:pPr>
              <w:ind w:left="2753"/>
              <w:spacing w:before="214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31"/>
              </w:rPr>
              <w:t>内容</w:t>
            </w:r>
          </w:p>
        </w:tc>
        <w:tc>
          <w:tcPr>
            <w:tcW w:w="1402" w:type="dxa"/>
            <w:vAlign w:val="top"/>
          </w:tcPr>
          <w:p>
            <w:pPr>
              <w:ind w:left="157"/>
              <w:spacing w:before="213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9"/>
              </w:rPr>
              <w:t>分值区间</w:t>
            </w:r>
          </w:p>
        </w:tc>
      </w:tr>
      <w:tr>
        <w:trPr>
          <w:trHeight w:val="1164" w:hRule="atLeast"/>
        </w:trPr>
        <w:tc>
          <w:tcPr>
            <w:tcW w:w="1946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97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1"/>
              </w:rPr>
              <w:t>类似工程业绩</w:t>
            </w:r>
          </w:p>
        </w:tc>
        <w:tc>
          <w:tcPr>
            <w:tcW w:w="5960" w:type="dxa"/>
            <w:vAlign w:val="top"/>
          </w:tcPr>
          <w:p>
            <w:pPr>
              <w:ind w:left="129" w:right="79" w:hanging="10"/>
              <w:spacing w:before="211" w:line="29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6"/>
              </w:rPr>
              <w:t>企业业绩（由招标人结合招标工程情况和自身需</w:t>
            </w:r>
            <w:r>
              <w:rPr>
                <w:rFonts w:ascii="FangSong" w:hAnsi="FangSong" w:eastAsia="FangSong" w:cs="FangSong"/>
                <w:sz w:val="30"/>
                <w:szCs w:val="30"/>
                <w:spacing w:val="-21"/>
              </w:rPr>
              <w:t>求自行设置）</w:t>
            </w:r>
          </w:p>
        </w:tc>
        <w:tc>
          <w:tcPr>
            <w:tcW w:w="1402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8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21"/>
              </w:rPr>
              <w:t>0</w:t>
            </w:r>
            <w:r>
              <w:rPr>
                <w:spacing w:val="-26"/>
              </w:rPr>
              <w:t xml:space="preserve"> </w:t>
            </w:r>
            <w:r>
              <w:rPr>
                <w:rFonts w:ascii="FangSong" w:hAnsi="FangSong" w:eastAsia="FangSong" w:cs="FangSong"/>
                <w:spacing w:val="-21"/>
              </w:rPr>
              <w:t>～</w:t>
            </w:r>
            <w:r>
              <w:rPr>
                <w:rFonts w:ascii="FangSong" w:hAnsi="FangSong" w:eastAsia="FangSong" w:cs="FangSong"/>
                <w:spacing w:val="-67"/>
              </w:rPr>
              <w:t xml:space="preserve"> </w:t>
            </w:r>
            <w:r>
              <w:rPr>
                <w:spacing w:val="-21"/>
              </w:rPr>
              <w:t>1.5 </w:t>
            </w:r>
            <w:r>
              <w:rPr>
                <w:rFonts w:ascii="FangSong" w:hAnsi="FangSong" w:eastAsia="FangSong" w:cs="FangSong"/>
                <w:spacing w:val="-21"/>
              </w:rPr>
              <w:t>分</w:t>
            </w:r>
          </w:p>
        </w:tc>
      </w:tr>
      <w:tr>
        <w:trPr>
          <w:trHeight w:val="1164" w:hRule="atLeast"/>
        </w:trPr>
        <w:tc>
          <w:tcPr>
            <w:tcW w:w="1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60" w:type="dxa"/>
            <w:vAlign w:val="top"/>
          </w:tcPr>
          <w:p>
            <w:pPr>
              <w:ind w:left="114" w:right="79" w:firstLine="4"/>
              <w:spacing w:before="211" w:line="290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2"/>
              </w:rPr>
              <w:t>人员业绩（项目负责人、技术负责人等</w:t>
            </w:r>
            <w:r>
              <w:rPr>
                <w:rFonts w:ascii="FangSong" w:hAnsi="FangSong" w:eastAsia="FangSong" w:cs="FangSong"/>
                <w:sz w:val="30"/>
                <w:szCs w:val="30"/>
                <w:spacing w:val="-79"/>
                <w:w w:val="92"/>
              </w:rPr>
              <w:t>）（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2"/>
              </w:rPr>
              <w:t>由招</w:t>
            </w:r>
            <w:r>
              <w:rPr>
                <w:rFonts w:ascii="FangSong" w:hAnsi="FangSong" w:eastAsia="FangSong" w:cs="FangSong"/>
                <w:sz w:val="30"/>
                <w:szCs w:val="30"/>
                <w:spacing w:val="-23"/>
              </w:rPr>
              <w:t>标人结合招标工程情况和自身需求自行设置）</w:t>
            </w:r>
          </w:p>
        </w:tc>
        <w:tc>
          <w:tcPr>
            <w:tcW w:w="1402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8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2"/>
              </w:rPr>
              <w:t>0</w:t>
            </w:r>
            <w:r>
              <w:rPr>
                <w:rFonts w:ascii="FangSong" w:hAnsi="FangSong" w:eastAsia="FangSong" w:cs="FangSong"/>
                <w:spacing w:val="-2"/>
              </w:rPr>
              <w:t>～</w:t>
            </w:r>
            <w:r>
              <w:rPr>
                <w:spacing w:val="-2"/>
              </w:rPr>
              <w:t>0.5 </w:t>
            </w:r>
            <w:r>
              <w:rPr>
                <w:rFonts w:ascii="FangSong" w:hAnsi="FangSong" w:eastAsia="FangSong" w:cs="FangSong"/>
                <w:spacing w:val="-2"/>
              </w:rPr>
              <w:t>分</w:t>
            </w:r>
          </w:p>
        </w:tc>
      </w:tr>
      <w:tr>
        <w:trPr>
          <w:trHeight w:val="2324" w:hRule="atLeast"/>
        </w:trPr>
        <w:tc>
          <w:tcPr>
            <w:tcW w:w="1946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21"/>
              <w:spacing w:before="98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信用评分</w:t>
            </w:r>
          </w:p>
        </w:tc>
        <w:tc>
          <w:tcPr>
            <w:tcW w:w="5960" w:type="dxa"/>
            <w:vAlign w:val="top"/>
          </w:tcPr>
          <w:p>
            <w:pPr>
              <w:pStyle w:val="TableText"/>
              <w:ind w:left="117" w:right="79" w:firstLine="3"/>
              <w:spacing w:before="214" w:line="323" w:lineRule="auto"/>
              <w:jc w:val="both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21"/>
              </w:rPr>
              <w:t>投标企业信用评价：</w:t>
            </w:r>
            <w:r>
              <w:rPr>
                <w:spacing w:val="-21"/>
              </w:rPr>
              <w:t>A </w:t>
            </w:r>
            <w:r>
              <w:rPr>
                <w:rFonts w:ascii="FangSong" w:hAnsi="FangSong" w:eastAsia="FangSong" w:cs="FangSong"/>
                <w:spacing w:val="-21"/>
              </w:rPr>
              <w:t>级</w:t>
            </w:r>
            <w:r>
              <w:rPr>
                <w:rFonts w:ascii="FangSong" w:hAnsi="FangSong" w:eastAsia="FangSong" w:cs="FangSong"/>
                <w:spacing w:val="-70"/>
              </w:rPr>
              <w:t xml:space="preserve"> </w:t>
            </w:r>
            <w:r>
              <w:rPr>
                <w:spacing w:val="-21"/>
              </w:rPr>
              <w:t>1.5 </w:t>
            </w:r>
            <w:r>
              <w:rPr>
                <w:rFonts w:ascii="FangSong" w:hAnsi="FangSong" w:eastAsia="FangSong" w:cs="FangSong"/>
                <w:spacing w:val="-21"/>
              </w:rPr>
              <w:t>分，</w:t>
            </w:r>
            <w:r>
              <w:rPr>
                <w:spacing w:val="-21"/>
              </w:rPr>
              <w:t>B </w:t>
            </w:r>
            <w:r>
              <w:rPr>
                <w:rFonts w:ascii="FangSong" w:hAnsi="FangSong" w:eastAsia="FangSong" w:cs="FangSong"/>
                <w:spacing w:val="-21"/>
              </w:rPr>
              <w:t>级</w:t>
            </w:r>
            <w:r>
              <w:rPr>
                <w:rFonts w:ascii="FangSong" w:hAnsi="FangSong" w:eastAsia="FangSong" w:cs="FangSong"/>
                <w:spacing w:val="-70"/>
              </w:rPr>
              <w:t xml:space="preserve"> </w:t>
            </w:r>
            <w:r>
              <w:rPr>
                <w:spacing w:val="-21"/>
              </w:rPr>
              <w:t>1.2 </w:t>
            </w:r>
            <w:r>
              <w:rPr>
                <w:rFonts w:ascii="FangSong" w:hAnsi="FangSong" w:eastAsia="FangSong" w:cs="FangSong"/>
                <w:spacing w:val="-21"/>
              </w:rPr>
              <w:t>分，</w:t>
            </w:r>
            <w:r>
              <w:rPr>
                <w:spacing w:val="-21"/>
              </w:rPr>
              <w:t>C</w:t>
            </w:r>
            <w:r>
              <w:rPr>
                <w:rFonts w:ascii="FangSong" w:hAnsi="FangSong" w:eastAsia="FangSong" w:cs="FangSong"/>
                <w:spacing w:val="-15"/>
              </w:rPr>
              <w:t>级</w:t>
            </w:r>
            <w:r>
              <w:rPr>
                <w:spacing w:val="-15"/>
              </w:rPr>
              <w:t>0.8 </w:t>
            </w:r>
            <w:r>
              <w:rPr>
                <w:rFonts w:ascii="FangSong" w:hAnsi="FangSong" w:eastAsia="FangSong" w:cs="FangSong"/>
                <w:spacing w:val="-15"/>
              </w:rPr>
              <w:t>分，</w:t>
            </w:r>
            <w:r>
              <w:rPr>
                <w:spacing w:val="-15"/>
              </w:rPr>
              <w:t>D </w:t>
            </w:r>
            <w:r>
              <w:rPr>
                <w:rFonts w:ascii="FangSong" w:hAnsi="FangSong" w:eastAsia="FangSong" w:cs="FangSong"/>
                <w:spacing w:val="-15"/>
              </w:rPr>
              <w:t>级</w:t>
            </w:r>
            <w:r>
              <w:rPr>
                <w:spacing w:val="-15"/>
              </w:rPr>
              <w:t>0.4 </w:t>
            </w:r>
            <w:r>
              <w:rPr>
                <w:rFonts w:ascii="FangSong" w:hAnsi="FangSong" w:eastAsia="FangSong" w:cs="FangSong"/>
                <w:spacing w:val="-15"/>
              </w:rPr>
              <w:t>分，</w:t>
            </w:r>
            <w:r>
              <w:rPr>
                <w:spacing w:val="-15"/>
              </w:rPr>
              <w:t>E </w:t>
            </w:r>
            <w:r>
              <w:rPr>
                <w:rFonts w:ascii="FangSong" w:hAnsi="FangSong" w:eastAsia="FangSong" w:cs="FangSong"/>
                <w:spacing w:val="-15"/>
              </w:rPr>
              <w:t>级</w:t>
            </w:r>
            <w:r>
              <w:rPr>
                <w:spacing w:val="-15"/>
              </w:rPr>
              <w:t>0 </w:t>
            </w:r>
            <w:r>
              <w:rPr>
                <w:rFonts w:ascii="FangSong" w:hAnsi="FangSong" w:eastAsia="FangSong" w:cs="FangSong"/>
                <w:spacing w:val="-15"/>
              </w:rPr>
              <w:t>分（由招标人结合</w:t>
            </w:r>
            <w:r>
              <w:rPr>
                <w:rFonts w:ascii="FangSong" w:hAnsi="FangSong" w:eastAsia="FangSong" w:cs="FangSong"/>
                <w:spacing w:val="-13"/>
              </w:rPr>
              <w:t>招标工程情况和自身需求自行选择是否应用信</w:t>
            </w:r>
            <w:r>
              <w:rPr>
                <w:rFonts w:ascii="FangSong" w:hAnsi="FangSong" w:eastAsia="FangSong" w:cs="FangSong"/>
                <w:spacing w:val="-18"/>
              </w:rPr>
              <w:t>用进行评分）</w:t>
            </w:r>
          </w:p>
        </w:tc>
        <w:tc>
          <w:tcPr>
            <w:tcW w:w="140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8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21"/>
              </w:rPr>
              <w:t>0</w:t>
            </w:r>
            <w:r>
              <w:rPr>
                <w:spacing w:val="-26"/>
              </w:rPr>
              <w:t xml:space="preserve"> </w:t>
            </w:r>
            <w:r>
              <w:rPr>
                <w:rFonts w:ascii="FangSong" w:hAnsi="FangSong" w:eastAsia="FangSong" w:cs="FangSong"/>
                <w:spacing w:val="-21"/>
              </w:rPr>
              <w:t>～</w:t>
            </w:r>
            <w:r>
              <w:rPr>
                <w:rFonts w:ascii="FangSong" w:hAnsi="FangSong" w:eastAsia="FangSong" w:cs="FangSong"/>
                <w:spacing w:val="-67"/>
              </w:rPr>
              <w:t xml:space="preserve"> </w:t>
            </w:r>
            <w:r>
              <w:rPr>
                <w:spacing w:val="-21"/>
              </w:rPr>
              <w:t>1.5 </w:t>
            </w:r>
            <w:r>
              <w:rPr>
                <w:rFonts w:ascii="FangSong" w:hAnsi="FangSong" w:eastAsia="FangSong" w:cs="FangSong"/>
                <w:spacing w:val="-21"/>
              </w:rPr>
              <w:t>分</w:t>
            </w:r>
          </w:p>
        </w:tc>
      </w:tr>
      <w:tr>
        <w:trPr>
          <w:trHeight w:val="2904" w:hRule="atLeast"/>
        </w:trPr>
        <w:tc>
          <w:tcPr>
            <w:tcW w:w="1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60" w:type="dxa"/>
            <w:vAlign w:val="top"/>
          </w:tcPr>
          <w:p>
            <w:pPr>
              <w:pStyle w:val="TableText"/>
              <w:ind w:left="113" w:right="79" w:firstLine="7"/>
              <w:spacing w:before="209" w:line="326" w:lineRule="auto"/>
              <w:jc w:val="both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26"/>
              </w:rPr>
              <w:t>项目负责人（项目经理）信用评价：由招标人根</w:t>
            </w:r>
            <w:r>
              <w:rPr>
                <w:rFonts w:ascii="FangSong" w:hAnsi="FangSong" w:eastAsia="FangSong" w:cs="FangSong"/>
                <w:spacing w:val="-11"/>
              </w:rPr>
              <w:t>据上线</w:t>
            </w:r>
            <w:r>
              <w:rPr>
                <w:spacing w:val="-11"/>
              </w:rPr>
              <w:t>“</w:t>
            </w:r>
            <w:r>
              <w:rPr>
                <w:rFonts w:ascii="FangSong" w:hAnsi="FangSong" w:eastAsia="FangSong" w:cs="FangSong"/>
                <w:spacing w:val="-11"/>
              </w:rPr>
              <w:t>注册建造师信用评价管理</w:t>
            </w: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应用</w:t>
            </w:r>
            <w:r>
              <w:rPr>
                <w:spacing w:val="-11"/>
              </w:rPr>
              <w:t>”</w:t>
            </w:r>
            <w:r>
              <w:rPr>
                <w:rFonts w:ascii="FangSong" w:hAnsi="FangSong" w:eastAsia="FangSong" w:cs="FangSong"/>
                <w:spacing w:val="-11"/>
              </w:rPr>
              <w:t>得分作</w:t>
            </w:r>
            <w:r>
              <w:rPr>
                <w:rFonts w:ascii="FangSong" w:hAnsi="FangSong" w:eastAsia="FangSong" w:cs="FangSong"/>
                <w:spacing w:val="-13"/>
              </w:rPr>
              <w:t>相应赋分，该</w:t>
            </w:r>
            <w:r>
              <w:rPr>
                <w:rFonts w:ascii="FangSong" w:hAnsi="FangSong" w:eastAsia="FangSong" w:cs="FangSong"/>
                <w:sz w:val="31"/>
                <w:szCs w:val="31"/>
                <w:spacing w:val="-13"/>
              </w:rPr>
              <w:t>应用</w:t>
            </w:r>
            <w:r>
              <w:rPr>
                <w:rFonts w:ascii="FangSong" w:hAnsi="FangSong" w:eastAsia="FangSong" w:cs="FangSong"/>
                <w:spacing w:val="-13"/>
              </w:rPr>
              <w:t>未上线前，投标人均按满分</w:t>
            </w:r>
            <w:r>
              <w:rPr>
                <w:spacing w:val="-23"/>
              </w:rPr>
              <w:t>0.25 </w:t>
            </w:r>
            <w:r>
              <w:rPr>
                <w:rFonts w:ascii="FangSong" w:hAnsi="FangSong" w:eastAsia="FangSong" w:cs="FangSong"/>
                <w:spacing w:val="-23"/>
              </w:rPr>
              <w:t>分计取（由招标人结合招标工程情况和自身</w:t>
            </w:r>
            <w:r>
              <w:rPr>
                <w:rFonts w:ascii="FangSong" w:hAnsi="FangSong" w:eastAsia="FangSong" w:cs="FangSong"/>
                <w:spacing w:val="-22"/>
              </w:rPr>
              <w:t>需求自行选择是否应用信用进行评分）</w:t>
            </w:r>
          </w:p>
        </w:tc>
        <w:tc>
          <w:tcPr>
            <w:tcW w:w="140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 w:right="211" w:hanging="341"/>
              <w:spacing w:before="98" w:line="386" w:lineRule="auto"/>
              <w:rPr>
                <w:rFonts w:ascii="FangSong" w:hAnsi="FangSong" w:eastAsia="FangSong" w:cs="FangSong"/>
              </w:rPr>
            </w:pP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pacing w:val="-10"/>
              </w:rPr>
              <w:t>～</w:t>
            </w:r>
            <w:r>
              <w:rPr>
                <w:spacing w:val="-10"/>
              </w:rPr>
              <w:t>0.25</w:t>
            </w:r>
            <w:r>
              <w:rPr>
                <w:rFonts w:ascii="FangSong" w:hAnsi="FangSong" w:eastAsia="FangSong" w:cs="FangSong"/>
              </w:rPr>
              <w:t>分</w:t>
            </w:r>
          </w:p>
        </w:tc>
      </w:tr>
      <w:tr>
        <w:trPr>
          <w:trHeight w:val="1747" w:hRule="atLeast"/>
        </w:trPr>
        <w:tc>
          <w:tcPr>
            <w:tcW w:w="1946" w:type="dxa"/>
            <w:vAlign w:val="top"/>
          </w:tcPr>
          <w:p>
            <w:pPr>
              <w:ind w:left="157" w:right="117" w:firstLine="6"/>
              <w:spacing w:before="211" w:line="313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4"/>
              </w:rPr>
              <w:t>拟派项目负责</w:t>
            </w:r>
            <w:r>
              <w:rPr>
                <w:rFonts w:ascii="FangSong" w:hAnsi="FangSong" w:eastAsia="FangSong" w:cs="FangSong"/>
                <w:sz w:val="30"/>
                <w:szCs w:val="30"/>
                <w:spacing w:val="-23"/>
              </w:rPr>
              <w:t>人及项目管理</w:t>
            </w:r>
            <w:r>
              <w:rPr>
                <w:rFonts w:ascii="FangSong" w:hAnsi="FangSong" w:eastAsia="FangSong" w:cs="FangSong"/>
                <w:sz w:val="30"/>
                <w:szCs w:val="30"/>
                <w:spacing w:val="-23"/>
              </w:rPr>
              <w:t>班子人员能力</w:t>
            </w:r>
          </w:p>
        </w:tc>
        <w:tc>
          <w:tcPr>
            <w:tcW w:w="5960" w:type="dxa"/>
            <w:vAlign w:val="top"/>
          </w:tcPr>
          <w:p>
            <w:pPr>
              <w:ind w:left="125" w:right="79" w:hanging="5"/>
              <w:spacing w:before="211" w:line="313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6"/>
              </w:rPr>
              <w:t>项目管理班子专业能力配备情况，可设置项目负</w:t>
            </w:r>
            <w:r>
              <w:rPr>
                <w:rFonts w:ascii="FangSong" w:hAnsi="FangSong" w:eastAsia="FangSong" w:cs="FangSong"/>
                <w:sz w:val="30"/>
                <w:szCs w:val="30"/>
                <w:spacing w:val="-27"/>
              </w:rPr>
              <w:t>责人及各专业负责人执业资格、执业年限、职称</w:t>
            </w:r>
            <w:r>
              <w:rPr>
                <w:rFonts w:ascii="FangSong" w:hAnsi="FangSong" w:eastAsia="FangSong" w:cs="FangSong"/>
                <w:sz w:val="30"/>
                <w:szCs w:val="30"/>
                <w:spacing w:val="-27"/>
              </w:rPr>
              <w:t>等，其他主要人员资格等综合情况要求（由招标</w:t>
            </w:r>
          </w:p>
        </w:tc>
        <w:tc>
          <w:tcPr>
            <w:tcW w:w="140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98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36"/>
              </w:rPr>
              <w:t>0</w:t>
            </w:r>
            <w:r>
              <w:rPr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pacing w:val="-36"/>
              </w:rPr>
              <w:t>～</w:t>
            </w:r>
            <w:r>
              <w:rPr>
                <w:rFonts w:ascii="FangSong" w:hAnsi="FangSong" w:eastAsia="FangSong" w:cs="FangSong"/>
                <w:spacing w:val="-67"/>
              </w:rPr>
              <w:t xml:space="preserve"> </w:t>
            </w:r>
            <w:r>
              <w:rPr>
                <w:spacing w:val="-36"/>
              </w:rPr>
              <w:t>1</w:t>
            </w:r>
            <w:r>
              <w:rPr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pacing w:val="-36"/>
              </w:rPr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31" w:right="1296" w:bottom="1157" w:left="1296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3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46"/>
        <w:gridCol w:w="5960"/>
        <w:gridCol w:w="1402"/>
      </w:tblGrid>
      <w:tr>
        <w:trPr>
          <w:trHeight w:val="589" w:hRule="atLeast"/>
        </w:trPr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60" w:type="dxa"/>
            <w:vAlign w:val="top"/>
          </w:tcPr>
          <w:p>
            <w:pPr>
              <w:ind w:left="119"/>
              <w:spacing w:before="211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3"/>
              </w:rPr>
              <w:t>人结合招标工程情况和自身需求自行设置）</w:t>
            </w:r>
          </w:p>
        </w:tc>
        <w:tc>
          <w:tcPr>
            <w:tcW w:w="14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65" w:hRule="atLeast"/>
        </w:trPr>
        <w:tc>
          <w:tcPr>
            <w:tcW w:w="194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567" w:right="117" w:hanging="409"/>
              <w:spacing w:before="98" w:line="359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3"/>
              </w:rPr>
              <w:t>项目负责人创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优情况</w:t>
            </w:r>
          </w:p>
        </w:tc>
        <w:tc>
          <w:tcPr>
            <w:tcW w:w="5960" w:type="dxa"/>
            <w:vAlign w:val="top"/>
          </w:tcPr>
          <w:p>
            <w:pPr>
              <w:pStyle w:val="TableText"/>
              <w:ind w:left="120"/>
              <w:spacing w:before="210" w:line="338" w:lineRule="auto"/>
              <w:jc w:val="both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3"/>
              </w:rPr>
              <w:t>项目负责人在一定时间内以项目负责人身份获</w:t>
            </w:r>
            <w:r>
              <w:rPr>
                <w:rFonts w:ascii="FangSong" w:hAnsi="FangSong" w:eastAsia="FangSong" w:cs="FangSong"/>
                <w:spacing w:val="-26"/>
              </w:rPr>
              <w:t>得国家级和省级优质工程奖项的（由招标人合理</w:t>
            </w:r>
            <w:r>
              <w:rPr>
                <w:rFonts w:ascii="FangSong" w:hAnsi="FangSong" w:eastAsia="FangSong" w:cs="FangSong"/>
                <w:spacing w:val="-26"/>
              </w:rPr>
              <w:t>认定时限，国家级优质工程奖项仅认可中国建设</w:t>
            </w:r>
            <w:r>
              <w:rPr>
                <w:rFonts w:ascii="FangSong" w:hAnsi="FangSong" w:eastAsia="FangSong" w:cs="FangSong"/>
                <w:spacing w:val="-26"/>
              </w:rPr>
              <w:t>工程鲁班奖、中国土木工程詹天佑奖、国家优质</w:t>
            </w:r>
            <w:r>
              <w:rPr>
                <w:rFonts w:ascii="FangSong" w:hAnsi="FangSong" w:eastAsia="FangSong" w:cs="FangSong"/>
                <w:spacing w:val="-35"/>
              </w:rPr>
              <w:t>工程奖、中国建筑工程装饰奖、中国钢结构金奖、</w:t>
            </w:r>
            <w:r>
              <w:rPr>
                <w:rFonts w:ascii="FangSong" w:hAnsi="FangSong" w:eastAsia="FangSong" w:cs="FangSong"/>
                <w:spacing w:val="-22"/>
              </w:rPr>
              <w:t>中国安装之星等</w:t>
            </w:r>
            <w:r>
              <w:rPr>
                <w:spacing w:val="-22"/>
              </w:rPr>
              <w:t>6 </w:t>
            </w:r>
            <w:r>
              <w:rPr>
                <w:rFonts w:ascii="FangSong" w:hAnsi="FangSong" w:eastAsia="FangSong" w:cs="FangSong"/>
                <w:spacing w:val="-22"/>
              </w:rPr>
              <w:t>类；省级优质工程奖项仅认可</w:t>
            </w:r>
            <w:r>
              <w:rPr>
                <w:rFonts w:ascii="FangSong" w:hAnsi="FangSong" w:eastAsia="FangSong" w:cs="FangSong"/>
                <w:spacing w:val="-20"/>
              </w:rPr>
              <w:t>下表所列奖项）</w:t>
            </w:r>
          </w:p>
        </w:tc>
        <w:tc>
          <w:tcPr>
            <w:tcW w:w="140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 w:right="211" w:hanging="341"/>
              <w:spacing w:before="98" w:line="386" w:lineRule="auto"/>
              <w:rPr>
                <w:rFonts w:ascii="FangSong" w:hAnsi="FangSong" w:eastAsia="FangSong" w:cs="FangSong"/>
              </w:rPr>
            </w:pPr>
            <w:r>
              <w:rPr>
                <w:spacing w:val="-10"/>
              </w:rPr>
              <w:t>0</w:t>
            </w:r>
            <w:r>
              <w:rPr>
                <w:spacing w:val="-27"/>
              </w:rPr>
              <w:t xml:space="preserve"> </w:t>
            </w:r>
            <w:r>
              <w:rPr>
                <w:rFonts w:ascii="FangSong" w:hAnsi="FangSong" w:eastAsia="FangSong" w:cs="FangSong"/>
                <w:spacing w:val="-10"/>
              </w:rPr>
              <w:t>～</w:t>
            </w:r>
            <w:r>
              <w:rPr>
                <w:spacing w:val="-10"/>
              </w:rPr>
              <w:t>0.25</w:t>
            </w:r>
            <w:r>
              <w:rPr>
                <w:rFonts w:ascii="FangSong" w:hAnsi="FangSong" w:eastAsia="FangSong" w:cs="FangSong"/>
              </w:rPr>
              <w:t>分</w:t>
            </w:r>
          </w:p>
        </w:tc>
      </w:tr>
    </w:tbl>
    <w:p>
      <w:pPr>
        <w:ind w:left="3067"/>
        <w:spacing w:before="255" w:line="225" w:lineRule="auto"/>
        <w:outlineLvl w:val="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省级优质工程奖项名录</w:t>
      </w:r>
    </w:p>
    <w:p>
      <w:pPr>
        <w:spacing w:line="27" w:lineRule="exact"/>
        <w:rPr/>
      </w:pPr>
      <w:r/>
    </w:p>
    <w:tbl>
      <w:tblPr>
        <w:tblStyle w:val="TableNormal"/>
        <w:tblW w:w="9041" w:type="dxa"/>
        <w:tblInd w:w="2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3"/>
        <w:gridCol w:w="1175"/>
        <w:gridCol w:w="2336"/>
        <w:gridCol w:w="1079"/>
        <w:gridCol w:w="1454"/>
        <w:gridCol w:w="2134"/>
      </w:tblGrid>
      <w:tr>
        <w:trPr>
          <w:trHeight w:val="514" w:hRule="atLeast"/>
        </w:trPr>
        <w:tc>
          <w:tcPr>
            <w:tcW w:w="863" w:type="dxa"/>
            <w:vAlign w:val="top"/>
          </w:tcPr>
          <w:p>
            <w:pPr>
              <w:ind w:left="117"/>
              <w:spacing w:before="159" w:line="20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2"/>
              </w:rPr>
              <w:t>序号</w:t>
            </w:r>
          </w:p>
        </w:tc>
        <w:tc>
          <w:tcPr>
            <w:tcW w:w="1175" w:type="dxa"/>
            <w:vAlign w:val="top"/>
          </w:tcPr>
          <w:p>
            <w:pPr>
              <w:ind w:left="272"/>
              <w:spacing w:before="159" w:line="20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2"/>
              </w:rPr>
              <w:t>地区</w:t>
            </w:r>
          </w:p>
        </w:tc>
        <w:tc>
          <w:tcPr>
            <w:tcW w:w="2336" w:type="dxa"/>
            <w:vAlign w:val="top"/>
          </w:tcPr>
          <w:p>
            <w:pPr>
              <w:ind w:left="374"/>
              <w:spacing w:before="159" w:line="20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4"/>
              </w:rPr>
              <w:t>优质工程奖</w:t>
            </w:r>
          </w:p>
        </w:tc>
        <w:tc>
          <w:tcPr>
            <w:tcW w:w="1079" w:type="dxa"/>
            <w:vAlign w:val="top"/>
          </w:tcPr>
          <w:p>
            <w:pPr>
              <w:ind w:left="224"/>
              <w:spacing w:before="159" w:line="20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2"/>
              </w:rPr>
              <w:t>序号</w:t>
            </w:r>
          </w:p>
        </w:tc>
        <w:tc>
          <w:tcPr>
            <w:tcW w:w="1454" w:type="dxa"/>
            <w:vAlign w:val="top"/>
          </w:tcPr>
          <w:p>
            <w:pPr>
              <w:ind w:left="415"/>
              <w:spacing w:before="159" w:line="20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2"/>
              </w:rPr>
              <w:t>地区</w:t>
            </w:r>
          </w:p>
        </w:tc>
        <w:tc>
          <w:tcPr>
            <w:tcW w:w="2134" w:type="dxa"/>
            <w:vAlign w:val="top"/>
          </w:tcPr>
          <w:p>
            <w:pPr>
              <w:ind w:left="274"/>
              <w:spacing w:before="159" w:line="20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spacing w:val="4"/>
              </w:rPr>
              <w:t>优质工程奖</w:t>
            </w:r>
          </w:p>
        </w:tc>
      </w:tr>
      <w:tr>
        <w:trPr>
          <w:trHeight w:val="774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85"/>
              <w:spacing w:before="281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</w:t>
            </w:r>
          </w:p>
        </w:tc>
        <w:tc>
          <w:tcPr>
            <w:tcW w:w="1175" w:type="dxa"/>
            <w:vAlign w:val="top"/>
          </w:tcPr>
          <w:p>
            <w:pPr>
              <w:ind w:left="283"/>
              <w:spacing w:before="23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北京</w:t>
            </w:r>
          </w:p>
        </w:tc>
        <w:tc>
          <w:tcPr>
            <w:tcW w:w="2336" w:type="dxa"/>
            <w:vAlign w:val="top"/>
          </w:tcPr>
          <w:p>
            <w:pPr>
              <w:ind w:left="702"/>
              <w:spacing w:before="229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长城杯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15"/>
              <w:spacing w:before="281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17</w:t>
            </w:r>
          </w:p>
        </w:tc>
        <w:tc>
          <w:tcPr>
            <w:tcW w:w="1454" w:type="dxa"/>
            <w:vAlign w:val="top"/>
          </w:tcPr>
          <w:p>
            <w:pPr>
              <w:ind w:left="435"/>
              <w:spacing w:before="229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河南</w:t>
            </w:r>
          </w:p>
        </w:tc>
        <w:tc>
          <w:tcPr>
            <w:tcW w:w="2134" w:type="dxa"/>
            <w:vAlign w:val="top"/>
          </w:tcPr>
          <w:p>
            <w:pPr>
              <w:ind w:left="635"/>
              <w:spacing w:before="23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中州杯</w:t>
            </w:r>
          </w:p>
        </w:tc>
      </w:tr>
      <w:tr>
        <w:trPr>
          <w:trHeight w:val="774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54"/>
              <w:spacing w:before="282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2</w:t>
            </w:r>
          </w:p>
        </w:tc>
        <w:tc>
          <w:tcPr>
            <w:tcW w:w="1175" w:type="dxa"/>
            <w:vAlign w:val="top"/>
          </w:tcPr>
          <w:p>
            <w:pPr>
              <w:ind w:left="284"/>
              <w:spacing w:before="229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上海</w:t>
            </w:r>
          </w:p>
        </w:tc>
        <w:tc>
          <w:tcPr>
            <w:tcW w:w="2336" w:type="dxa"/>
            <w:vAlign w:val="top"/>
          </w:tcPr>
          <w:p>
            <w:pPr>
              <w:ind w:left="582"/>
              <w:spacing w:before="23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5"/>
              </w:rPr>
              <w:t>白玉兰奖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15"/>
              <w:spacing w:before="282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18</w:t>
            </w:r>
          </w:p>
        </w:tc>
        <w:tc>
          <w:tcPr>
            <w:tcW w:w="1454" w:type="dxa"/>
            <w:vAlign w:val="top"/>
          </w:tcPr>
          <w:p>
            <w:pPr>
              <w:ind w:left="433"/>
              <w:spacing w:before="230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江苏</w:t>
            </w:r>
          </w:p>
        </w:tc>
        <w:tc>
          <w:tcPr>
            <w:tcW w:w="2134" w:type="dxa"/>
            <w:vAlign w:val="top"/>
          </w:tcPr>
          <w:p>
            <w:pPr>
              <w:ind w:left="610"/>
              <w:spacing w:before="230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扬子杯</w:t>
            </w:r>
          </w:p>
        </w:tc>
      </w:tr>
      <w:tr>
        <w:trPr>
          <w:trHeight w:val="774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60"/>
              <w:spacing w:before="283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3</w:t>
            </w:r>
          </w:p>
        </w:tc>
        <w:tc>
          <w:tcPr>
            <w:tcW w:w="1175" w:type="dxa"/>
            <w:vAlign w:val="top"/>
          </w:tcPr>
          <w:p>
            <w:pPr>
              <w:ind w:left="285"/>
              <w:spacing w:before="23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天津</w:t>
            </w:r>
          </w:p>
        </w:tc>
        <w:tc>
          <w:tcPr>
            <w:tcW w:w="2336" w:type="dxa"/>
            <w:vAlign w:val="top"/>
          </w:tcPr>
          <w:p>
            <w:pPr>
              <w:ind w:left="705"/>
              <w:spacing w:before="231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海河杯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415"/>
              <w:spacing w:before="283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19</w:t>
            </w:r>
          </w:p>
        </w:tc>
        <w:tc>
          <w:tcPr>
            <w:tcW w:w="1454" w:type="dxa"/>
            <w:vAlign w:val="top"/>
          </w:tcPr>
          <w:p>
            <w:pPr>
              <w:ind w:left="425"/>
              <w:spacing w:before="23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安徽</w:t>
            </w:r>
          </w:p>
        </w:tc>
        <w:tc>
          <w:tcPr>
            <w:tcW w:w="2134" w:type="dxa"/>
            <w:vAlign w:val="top"/>
          </w:tcPr>
          <w:p>
            <w:pPr>
              <w:ind w:left="605"/>
              <w:spacing w:before="23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黄山杯</w:t>
            </w:r>
          </w:p>
        </w:tc>
      </w:tr>
      <w:tr>
        <w:trPr>
          <w:trHeight w:val="774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52"/>
              <w:spacing w:before="284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4</w:t>
            </w:r>
          </w:p>
        </w:tc>
        <w:tc>
          <w:tcPr>
            <w:tcW w:w="1175" w:type="dxa"/>
            <w:vAlign w:val="top"/>
          </w:tcPr>
          <w:p>
            <w:pPr>
              <w:ind w:left="290"/>
              <w:spacing w:before="23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重庆</w:t>
            </w:r>
          </w:p>
        </w:tc>
        <w:tc>
          <w:tcPr>
            <w:tcW w:w="2336" w:type="dxa"/>
            <w:vAlign w:val="top"/>
          </w:tcPr>
          <w:p>
            <w:pPr>
              <w:ind w:left="746"/>
              <w:spacing w:before="23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巴渝杯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84"/>
              <w:spacing w:before="284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20</w:t>
            </w:r>
          </w:p>
        </w:tc>
        <w:tc>
          <w:tcPr>
            <w:tcW w:w="1454" w:type="dxa"/>
            <w:vAlign w:val="top"/>
          </w:tcPr>
          <w:p>
            <w:pPr>
              <w:ind w:left="436"/>
              <w:spacing w:before="233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浙江</w:t>
            </w:r>
          </w:p>
        </w:tc>
        <w:tc>
          <w:tcPr>
            <w:tcW w:w="2134" w:type="dxa"/>
            <w:vAlign w:val="top"/>
          </w:tcPr>
          <w:p>
            <w:pPr>
              <w:ind w:left="594"/>
              <w:spacing w:before="23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钱江杯</w:t>
            </w:r>
          </w:p>
        </w:tc>
      </w:tr>
      <w:tr>
        <w:trPr>
          <w:trHeight w:val="775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63"/>
              <w:spacing w:before="290" w:line="18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5</w:t>
            </w:r>
          </w:p>
        </w:tc>
        <w:tc>
          <w:tcPr>
            <w:tcW w:w="1175" w:type="dxa"/>
            <w:vAlign w:val="top"/>
          </w:tcPr>
          <w:p>
            <w:pPr>
              <w:ind w:left="130"/>
              <w:spacing w:before="234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黑龙江</w:t>
            </w:r>
          </w:p>
        </w:tc>
        <w:tc>
          <w:tcPr>
            <w:tcW w:w="2336" w:type="dxa"/>
            <w:vAlign w:val="top"/>
          </w:tcPr>
          <w:p>
            <w:pPr>
              <w:ind w:left="709"/>
              <w:spacing w:before="233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龙江杯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84"/>
              <w:spacing w:before="285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21</w:t>
            </w:r>
          </w:p>
        </w:tc>
        <w:tc>
          <w:tcPr>
            <w:tcW w:w="1454" w:type="dxa"/>
            <w:vAlign w:val="top"/>
          </w:tcPr>
          <w:p>
            <w:pPr>
              <w:ind w:left="433"/>
              <w:spacing w:before="234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江西</w:t>
            </w:r>
          </w:p>
        </w:tc>
        <w:tc>
          <w:tcPr>
            <w:tcW w:w="2134" w:type="dxa"/>
            <w:vAlign w:val="top"/>
          </w:tcPr>
          <w:p>
            <w:pPr>
              <w:ind w:left="441"/>
              <w:spacing w:before="233" w:line="220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杜鹃花杯</w:t>
            </w:r>
          </w:p>
        </w:tc>
      </w:tr>
      <w:tr>
        <w:trPr>
          <w:trHeight w:val="775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61"/>
              <w:spacing w:before="285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6</w:t>
            </w:r>
          </w:p>
        </w:tc>
        <w:tc>
          <w:tcPr>
            <w:tcW w:w="1175" w:type="dxa"/>
            <w:vAlign w:val="top"/>
          </w:tcPr>
          <w:p>
            <w:pPr>
              <w:ind w:left="294"/>
              <w:spacing w:before="234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吉林</w:t>
            </w:r>
          </w:p>
        </w:tc>
        <w:tc>
          <w:tcPr>
            <w:tcW w:w="2336" w:type="dxa"/>
            <w:vAlign w:val="top"/>
          </w:tcPr>
          <w:p>
            <w:pPr>
              <w:ind w:left="541"/>
              <w:spacing w:before="233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长白山杯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84"/>
              <w:spacing w:before="285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22</w:t>
            </w:r>
          </w:p>
        </w:tc>
        <w:tc>
          <w:tcPr>
            <w:tcW w:w="1454" w:type="dxa"/>
            <w:vAlign w:val="top"/>
          </w:tcPr>
          <w:p>
            <w:pPr>
              <w:ind w:left="427"/>
              <w:spacing w:before="234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湖北</w:t>
            </w:r>
          </w:p>
        </w:tc>
        <w:tc>
          <w:tcPr>
            <w:tcW w:w="2134" w:type="dxa"/>
            <w:vAlign w:val="top"/>
          </w:tcPr>
          <w:p>
            <w:pPr>
              <w:ind w:left="603"/>
              <w:spacing w:before="233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楚天杯</w:t>
            </w:r>
          </w:p>
        </w:tc>
      </w:tr>
      <w:tr>
        <w:trPr>
          <w:trHeight w:val="775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59"/>
              <w:spacing w:before="290" w:line="18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7</w:t>
            </w:r>
          </w:p>
        </w:tc>
        <w:tc>
          <w:tcPr>
            <w:tcW w:w="1175" w:type="dxa"/>
            <w:vAlign w:val="top"/>
          </w:tcPr>
          <w:p>
            <w:pPr>
              <w:ind w:left="281"/>
              <w:spacing w:before="234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辽宁</w:t>
            </w:r>
          </w:p>
        </w:tc>
        <w:tc>
          <w:tcPr>
            <w:tcW w:w="2336" w:type="dxa"/>
            <w:vAlign w:val="top"/>
          </w:tcPr>
          <w:p>
            <w:pPr>
              <w:ind w:left="705"/>
              <w:spacing w:before="233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世纪杯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84"/>
              <w:spacing w:before="285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23</w:t>
            </w:r>
          </w:p>
        </w:tc>
        <w:tc>
          <w:tcPr>
            <w:tcW w:w="1454" w:type="dxa"/>
            <w:vAlign w:val="top"/>
          </w:tcPr>
          <w:p>
            <w:pPr>
              <w:ind w:left="427"/>
              <w:spacing w:before="233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湖南</w:t>
            </w:r>
          </w:p>
        </w:tc>
        <w:tc>
          <w:tcPr>
            <w:tcW w:w="2134" w:type="dxa"/>
            <w:vAlign w:val="top"/>
          </w:tcPr>
          <w:p>
            <w:pPr>
              <w:ind w:left="607"/>
              <w:spacing w:before="234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芙蓉奖</w:t>
            </w:r>
          </w:p>
        </w:tc>
      </w:tr>
      <w:tr>
        <w:trPr>
          <w:trHeight w:val="775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67"/>
              <w:spacing w:before="285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8</w:t>
            </w:r>
          </w:p>
        </w:tc>
        <w:tc>
          <w:tcPr>
            <w:tcW w:w="1175" w:type="dxa"/>
            <w:vAlign w:val="top"/>
          </w:tcPr>
          <w:p>
            <w:pPr>
              <w:ind w:left="161"/>
              <w:spacing w:before="233" w:line="221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0"/>
              </w:rPr>
              <w:t>内蒙古</w:t>
            </w:r>
          </w:p>
        </w:tc>
        <w:tc>
          <w:tcPr>
            <w:tcW w:w="2336" w:type="dxa"/>
            <w:vAlign w:val="top"/>
          </w:tcPr>
          <w:p>
            <w:pPr>
              <w:ind w:left="705"/>
              <w:spacing w:before="229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草原杯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84"/>
              <w:spacing w:before="285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24</w:t>
            </w:r>
          </w:p>
        </w:tc>
        <w:tc>
          <w:tcPr>
            <w:tcW w:w="1454" w:type="dxa"/>
            <w:vAlign w:val="top"/>
          </w:tcPr>
          <w:p>
            <w:pPr>
              <w:ind w:left="454"/>
              <w:spacing w:before="234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6"/>
              </w:rPr>
              <w:t>四川</w:t>
            </w:r>
          </w:p>
        </w:tc>
        <w:tc>
          <w:tcPr>
            <w:tcW w:w="2134" w:type="dxa"/>
            <w:vAlign w:val="top"/>
          </w:tcPr>
          <w:p>
            <w:pPr>
              <w:ind w:left="606"/>
              <w:spacing w:before="233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天府杯</w:t>
            </w:r>
          </w:p>
        </w:tc>
      </w:tr>
      <w:tr>
        <w:trPr>
          <w:trHeight w:val="1424" w:hRule="atLeast"/>
        </w:trPr>
        <w:tc>
          <w:tcPr>
            <w:tcW w:w="86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89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9</w:t>
            </w:r>
          </w:p>
        </w:tc>
        <w:tc>
          <w:tcPr>
            <w:tcW w:w="117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317"/>
              <w:spacing w:before="100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8"/>
              </w:rPr>
              <w:t>山西</w:t>
            </w:r>
          </w:p>
        </w:tc>
        <w:tc>
          <w:tcPr>
            <w:tcW w:w="2336" w:type="dxa"/>
            <w:vAlign w:val="top"/>
          </w:tcPr>
          <w:p>
            <w:pPr>
              <w:ind w:left="860" w:right="205" w:hanging="602"/>
              <w:spacing w:before="241" w:line="34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山西省优质工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程奖</w:t>
            </w:r>
          </w:p>
        </w:tc>
        <w:tc>
          <w:tcPr>
            <w:tcW w:w="107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89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25</w:t>
            </w:r>
          </w:p>
        </w:tc>
        <w:tc>
          <w:tcPr>
            <w:tcW w:w="145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425"/>
              <w:spacing w:before="10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贵州</w:t>
            </w:r>
          </w:p>
        </w:tc>
        <w:tc>
          <w:tcPr>
            <w:tcW w:w="213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444"/>
              <w:spacing w:before="10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黄果树杯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31" w:right="1296" w:bottom="1157" w:left="1296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0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3"/>
        <w:gridCol w:w="1175"/>
        <w:gridCol w:w="2336"/>
        <w:gridCol w:w="1079"/>
        <w:gridCol w:w="1454"/>
        <w:gridCol w:w="2134"/>
      </w:tblGrid>
      <w:tr>
        <w:trPr>
          <w:trHeight w:val="779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05"/>
              <w:spacing w:before="286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317"/>
              <w:spacing w:before="231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8"/>
              </w:rPr>
              <w:t>山东</w:t>
            </w:r>
          </w:p>
        </w:tc>
        <w:tc>
          <w:tcPr>
            <w:tcW w:w="2336" w:type="dxa"/>
            <w:vAlign w:val="top"/>
          </w:tcPr>
          <w:p>
            <w:pPr>
              <w:ind w:left="704"/>
              <w:spacing w:before="23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泰山杯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84"/>
              <w:spacing w:before="286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26</w:t>
            </w:r>
          </w:p>
        </w:tc>
        <w:tc>
          <w:tcPr>
            <w:tcW w:w="1454" w:type="dxa"/>
            <w:vAlign w:val="top"/>
          </w:tcPr>
          <w:p>
            <w:pPr>
              <w:ind w:left="422"/>
              <w:spacing w:before="23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福建</w:t>
            </w:r>
          </w:p>
        </w:tc>
        <w:tc>
          <w:tcPr>
            <w:tcW w:w="2134" w:type="dxa"/>
            <w:vAlign w:val="top"/>
          </w:tcPr>
          <w:p>
            <w:pPr>
              <w:ind w:left="631"/>
              <w:spacing w:before="231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闽江杯</w:t>
            </w:r>
          </w:p>
        </w:tc>
      </w:tr>
      <w:tr>
        <w:trPr>
          <w:trHeight w:val="774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13"/>
              <w:spacing w:before="282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7"/>
              </w:rPr>
              <w:t>11</w:t>
            </w:r>
          </w:p>
        </w:tc>
        <w:tc>
          <w:tcPr>
            <w:tcW w:w="1175" w:type="dxa"/>
            <w:vAlign w:val="top"/>
          </w:tcPr>
          <w:p>
            <w:pPr>
              <w:ind w:left="303"/>
              <w:spacing w:before="227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陕西</w:t>
            </w:r>
          </w:p>
        </w:tc>
        <w:tc>
          <w:tcPr>
            <w:tcW w:w="2336" w:type="dxa"/>
            <w:vAlign w:val="top"/>
          </w:tcPr>
          <w:p>
            <w:pPr>
              <w:ind w:left="702"/>
              <w:spacing w:before="227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长安杯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84"/>
              <w:spacing w:before="282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27</w:t>
            </w:r>
          </w:p>
        </w:tc>
        <w:tc>
          <w:tcPr>
            <w:tcW w:w="1454" w:type="dxa"/>
            <w:vAlign w:val="top"/>
          </w:tcPr>
          <w:p>
            <w:pPr>
              <w:ind w:left="416"/>
              <w:spacing w:before="227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广东</w:t>
            </w:r>
          </w:p>
        </w:tc>
        <w:tc>
          <w:tcPr>
            <w:tcW w:w="2134" w:type="dxa"/>
            <w:vAlign w:val="top"/>
          </w:tcPr>
          <w:p>
            <w:pPr>
              <w:ind w:left="600"/>
              <w:spacing w:before="228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金匠奖</w:t>
            </w:r>
          </w:p>
        </w:tc>
      </w:tr>
      <w:tr>
        <w:trPr>
          <w:trHeight w:val="1221" w:hRule="atLeast"/>
        </w:trPr>
        <w:tc>
          <w:tcPr>
            <w:tcW w:w="863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89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12</w:t>
            </w:r>
          </w:p>
        </w:tc>
        <w:tc>
          <w:tcPr>
            <w:tcW w:w="117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297"/>
              <w:spacing w:before="10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宁夏</w:t>
            </w:r>
          </w:p>
        </w:tc>
        <w:tc>
          <w:tcPr>
            <w:tcW w:w="233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713"/>
              <w:spacing w:before="101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西夏杯</w:t>
            </w:r>
          </w:p>
        </w:tc>
        <w:tc>
          <w:tcPr>
            <w:tcW w:w="107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89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28</w:t>
            </w:r>
          </w:p>
        </w:tc>
        <w:tc>
          <w:tcPr>
            <w:tcW w:w="145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416"/>
              <w:spacing w:before="101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广西</w:t>
            </w:r>
          </w:p>
        </w:tc>
        <w:tc>
          <w:tcPr>
            <w:tcW w:w="2134" w:type="dxa"/>
            <w:vAlign w:val="top"/>
          </w:tcPr>
          <w:p>
            <w:pPr>
              <w:ind w:left="760" w:right="266" w:hanging="485"/>
              <w:spacing w:before="156" w:line="31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广西优质工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程奖</w:t>
            </w:r>
          </w:p>
        </w:tc>
      </w:tr>
      <w:tr>
        <w:trPr>
          <w:trHeight w:val="1454" w:hRule="atLeast"/>
        </w:trPr>
        <w:tc>
          <w:tcPr>
            <w:tcW w:w="86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89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13</w:t>
            </w:r>
          </w:p>
        </w:tc>
        <w:tc>
          <w:tcPr>
            <w:tcW w:w="1175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10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青海</w:t>
            </w:r>
          </w:p>
        </w:tc>
        <w:tc>
          <w:tcPr>
            <w:tcW w:w="2336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553"/>
              <w:spacing w:before="101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江河源杯</w:t>
            </w:r>
          </w:p>
        </w:tc>
        <w:tc>
          <w:tcPr>
            <w:tcW w:w="10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89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1"/>
              </w:rPr>
              <w:t>29</w:t>
            </w:r>
          </w:p>
        </w:tc>
        <w:tc>
          <w:tcPr>
            <w:tcW w:w="145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430"/>
              <w:spacing w:before="101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云南</w:t>
            </w:r>
          </w:p>
        </w:tc>
        <w:tc>
          <w:tcPr>
            <w:tcW w:w="2134" w:type="dxa"/>
            <w:vAlign w:val="top"/>
          </w:tcPr>
          <w:p>
            <w:pPr>
              <w:ind w:left="604" w:right="266" w:hanging="316"/>
              <w:spacing w:before="258" w:line="35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云南省优质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工程奖</w:t>
            </w:r>
          </w:p>
        </w:tc>
      </w:tr>
      <w:tr>
        <w:trPr>
          <w:trHeight w:val="774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05"/>
              <w:spacing w:before="286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14</w:t>
            </w:r>
          </w:p>
        </w:tc>
        <w:tc>
          <w:tcPr>
            <w:tcW w:w="1175" w:type="dxa"/>
            <w:vAlign w:val="top"/>
          </w:tcPr>
          <w:p>
            <w:pPr>
              <w:ind w:left="282"/>
              <w:spacing w:before="23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新疆</w:t>
            </w:r>
          </w:p>
        </w:tc>
        <w:tc>
          <w:tcPr>
            <w:tcW w:w="2336" w:type="dxa"/>
            <w:vAlign w:val="top"/>
          </w:tcPr>
          <w:p>
            <w:pPr>
              <w:ind w:left="706"/>
              <w:spacing w:before="23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天山奖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90"/>
              <w:spacing w:before="286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30</w:t>
            </w:r>
          </w:p>
        </w:tc>
        <w:tc>
          <w:tcPr>
            <w:tcW w:w="1454" w:type="dxa"/>
            <w:vAlign w:val="top"/>
          </w:tcPr>
          <w:p>
            <w:pPr>
              <w:ind w:left="425"/>
              <w:spacing w:before="231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海南</w:t>
            </w:r>
          </w:p>
        </w:tc>
        <w:tc>
          <w:tcPr>
            <w:tcW w:w="2134" w:type="dxa"/>
            <w:vAlign w:val="top"/>
          </w:tcPr>
          <w:p>
            <w:pPr>
              <w:ind w:left="611"/>
              <w:spacing w:before="23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绿岛杯</w:t>
            </w:r>
          </w:p>
        </w:tc>
      </w:tr>
      <w:tr>
        <w:trPr>
          <w:trHeight w:val="775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05"/>
              <w:spacing w:before="287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15</w:t>
            </w:r>
          </w:p>
        </w:tc>
        <w:tc>
          <w:tcPr>
            <w:tcW w:w="1175" w:type="dxa"/>
            <w:vAlign w:val="top"/>
          </w:tcPr>
          <w:p>
            <w:pPr>
              <w:ind w:left="292"/>
              <w:spacing w:before="232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5"/>
              </w:rPr>
              <w:t>西藏</w:t>
            </w:r>
          </w:p>
        </w:tc>
        <w:tc>
          <w:tcPr>
            <w:tcW w:w="2336" w:type="dxa"/>
            <w:vAlign w:val="top"/>
          </w:tcPr>
          <w:p>
            <w:pPr>
              <w:ind w:left="715"/>
              <w:spacing w:before="23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雪莲杯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390"/>
              <w:spacing w:before="287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2"/>
              </w:rPr>
              <w:t>31</w:t>
            </w:r>
          </w:p>
        </w:tc>
        <w:tc>
          <w:tcPr>
            <w:tcW w:w="1454" w:type="dxa"/>
            <w:vAlign w:val="top"/>
          </w:tcPr>
          <w:p>
            <w:pPr>
              <w:ind w:left="431"/>
              <w:spacing w:before="233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甘肃</w:t>
            </w:r>
          </w:p>
        </w:tc>
        <w:tc>
          <w:tcPr>
            <w:tcW w:w="2134" w:type="dxa"/>
            <w:vAlign w:val="top"/>
          </w:tcPr>
          <w:p>
            <w:pPr>
              <w:ind w:left="618"/>
              <w:spacing w:before="232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飞天杯</w:t>
            </w:r>
          </w:p>
        </w:tc>
      </w:tr>
      <w:tr>
        <w:trPr>
          <w:trHeight w:val="796" w:hRule="atLeast"/>
        </w:trPr>
        <w:tc>
          <w:tcPr>
            <w:tcW w:w="863" w:type="dxa"/>
            <w:vAlign w:val="top"/>
          </w:tcPr>
          <w:p>
            <w:pPr>
              <w:pStyle w:val="TableText"/>
              <w:ind w:left="305"/>
              <w:spacing w:before="294" w:line="192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-14"/>
              </w:rPr>
              <w:t>16</w:t>
            </w:r>
          </w:p>
        </w:tc>
        <w:tc>
          <w:tcPr>
            <w:tcW w:w="1175" w:type="dxa"/>
            <w:vAlign w:val="top"/>
          </w:tcPr>
          <w:p>
            <w:pPr>
              <w:ind w:left="294"/>
              <w:spacing w:before="24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河北</w:t>
            </w:r>
          </w:p>
        </w:tc>
        <w:tc>
          <w:tcPr>
            <w:tcW w:w="2336" w:type="dxa"/>
            <w:vAlign w:val="top"/>
          </w:tcPr>
          <w:p>
            <w:pPr>
              <w:ind w:left="705"/>
              <w:spacing w:before="240" w:line="221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安济杯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58"/>
        <w:spacing w:before="191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7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二）适用于技术标通过制的综合评估法</w:t>
      </w:r>
    </w:p>
    <w:p>
      <w:pPr>
        <w:pStyle w:val="BodyText"/>
        <w:ind w:left="125" w:right="315" w:firstLine="665"/>
        <w:spacing w:before="274" w:line="393" w:lineRule="auto"/>
        <w:rPr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8"/>
        </w:rPr>
        <w:t>由招标人结合招标工程情况和自身需求自行选择是否应</w:t>
      </w:r>
      <w:r>
        <w:rPr>
          <w:spacing w:val="8"/>
        </w:rPr>
        <w:t>用信用进行评分，不选择时将自动获得该项满分分值。对进入</w:t>
      </w:r>
      <w:r>
        <w:rPr>
          <w:spacing w:val="6"/>
        </w:rPr>
        <w:t>评分范围的投标人进行资信评审，资信评审为信用评价得分：</w:t>
      </w:r>
    </w:p>
    <w:p>
      <w:pPr>
        <w:pStyle w:val="BodyText"/>
        <w:ind w:left="147" w:right="237" w:hanging="32"/>
        <w:spacing w:before="3" w:line="392" w:lineRule="auto"/>
        <w:rPr/>
      </w:pPr>
      <w:r>
        <w:rPr>
          <w:spacing w:val="8"/>
        </w:rPr>
        <w:t>信用评价等级以投标截止时间上一旬（</w:t>
      </w:r>
      <w:r>
        <w:rPr>
          <w:spacing w:val="-48"/>
        </w:rPr>
        <w:t xml:space="preserve"> </w:t>
      </w:r>
      <w:r>
        <w:rPr>
          <w:spacing w:val="8"/>
        </w:rPr>
        <w:t>即投标截止时间在当月</w:t>
      </w:r>
      <w:r>
        <w:rPr>
          <w:rFonts w:ascii="Times New Roman" w:hAnsi="Times New Roman" w:eastAsia="Times New Roman" w:cs="Times New Roman"/>
          <w:spacing w:val="-7"/>
        </w:rPr>
        <w:t>1-10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7"/>
        </w:rPr>
        <w:t>号的，</w:t>
      </w:r>
      <w:r>
        <w:rPr>
          <w:spacing w:val="-92"/>
        </w:rPr>
        <w:t xml:space="preserve"> </w:t>
      </w:r>
      <w:r>
        <w:rPr>
          <w:spacing w:val="-7"/>
        </w:rPr>
        <w:t>以上月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21-31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7"/>
        </w:rPr>
        <w:t>号发布的最新一期企业信用等级为准；</w:t>
      </w:r>
    </w:p>
    <w:p>
      <w:pPr>
        <w:pStyle w:val="BodyText"/>
        <w:ind w:left="125" w:right="314" w:firstLine="3"/>
        <w:spacing w:line="393" w:lineRule="auto"/>
        <w:rPr/>
      </w:pPr>
      <w:r>
        <w:rPr>
          <w:spacing w:val="-8"/>
        </w:rPr>
        <w:t>投标截止时间在当月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11-20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号的，以当月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1-10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号</w:t>
      </w:r>
      <w:r>
        <w:rPr>
          <w:spacing w:val="-9"/>
        </w:rPr>
        <w:t>发布的最新一期</w:t>
      </w:r>
      <w:r>
        <w:rPr>
          <w:spacing w:val="-14"/>
        </w:rPr>
        <w:t>企业信用等级为准；投标截止时间在当月</w:t>
      </w:r>
      <w:r>
        <w:rPr>
          <w:rFonts w:ascii="Times New Roman" w:hAnsi="Times New Roman" w:eastAsia="Times New Roman" w:cs="Times New Roman"/>
          <w:spacing w:val="-14"/>
        </w:rPr>
        <w:t>21-31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4"/>
        </w:rPr>
        <w:t>号的，以当月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11-20</w:t>
      </w:r>
      <w:r>
        <w:rPr>
          <w:spacing w:val="-3"/>
        </w:rPr>
        <w:t>号发布的最新一期企业信用等级为准）全省建筑施工企业信用评</w:t>
      </w:r>
      <w:r>
        <w:rPr>
          <w:spacing w:val="9"/>
        </w:rPr>
        <w:t>价管理系统中发布的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建筑施工企业信用评价等级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为准；联合</w:t>
      </w:r>
    </w:p>
    <w:p>
      <w:pPr>
        <w:spacing w:line="393" w:lineRule="auto"/>
        <w:sectPr>
          <w:footerReference w:type="default" r:id="rId23"/>
          <w:pgSz w:w="11906" w:h="16839"/>
          <w:pgMar w:top="1431" w:right="1328" w:bottom="1157" w:left="1531" w:header="0" w:footer="991" w:gutter="0"/>
        </w:sectPr>
        <w:rPr/>
      </w:pP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328" w:right="238" w:hanging="3"/>
        <w:spacing w:before="101" w:line="371" w:lineRule="auto"/>
        <w:jc w:val="both"/>
        <w:rPr/>
      </w:pPr>
      <w:r>
        <w:rPr>
          <w:spacing w:val="9"/>
        </w:rPr>
        <w:t>体投标的，以联合体牵头人为准；跨行业组成联合体</w:t>
      </w:r>
      <w:r>
        <w:rPr>
          <w:spacing w:val="8"/>
        </w:rPr>
        <w:t>的，以承</w:t>
      </w:r>
      <w:r>
        <w:rPr>
          <w:spacing w:val="9"/>
        </w:rPr>
        <w:t>担本行业工作任务较多的施工企业的信用为准；如</w:t>
      </w:r>
      <w:r>
        <w:rPr>
          <w:spacing w:val="8"/>
        </w:rPr>
        <w:t>项目同时涉</w:t>
      </w:r>
      <w:r>
        <w:rPr/>
        <w:t>及房建和市政两项工作，联合体投标的，以联合体牵头人为准，</w:t>
      </w:r>
      <w:r>
        <w:rPr>
          <w:spacing w:val="18"/>
        </w:rPr>
        <w:t>独立投标的，</w:t>
      </w:r>
      <w:r>
        <w:rPr>
          <w:spacing w:val="-74"/>
        </w:rPr>
        <w:t xml:space="preserve"> </w:t>
      </w:r>
      <w:r>
        <w:rPr>
          <w:spacing w:val="18"/>
        </w:rPr>
        <w:t>以项目所涉的主要工作项所对应的企业信用为</w:t>
      </w:r>
      <w:r>
        <w:rPr>
          <w:spacing w:val="9"/>
        </w:rPr>
        <w:t>准，由招标人在编制招标文件时视项目具体</w:t>
      </w:r>
      <w:r>
        <w:rPr>
          <w:spacing w:val="8"/>
        </w:rPr>
        <w:t>情况选择房建或市</w:t>
      </w:r>
      <w:r>
        <w:rPr>
          <w:spacing w:val="8"/>
        </w:rPr>
        <w:t>政之一作为主要工作项，未提供或者提供不全的投标人</w:t>
      </w:r>
      <w:r>
        <w:rPr>
          <w:spacing w:val="7"/>
        </w:rPr>
        <w:t>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0 </w:t>
      </w:r>
      <w:r>
        <w:rPr>
          <w:spacing w:val="7"/>
        </w:rPr>
        <w:t>分</w:t>
      </w:r>
      <w:r>
        <w:rPr/>
        <w:t>计。</w:t>
      </w:r>
    </w:p>
    <w:tbl>
      <w:tblPr>
        <w:tblStyle w:val="TableNormal"/>
        <w:tblW w:w="925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94"/>
        <w:gridCol w:w="2679"/>
        <w:gridCol w:w="4280"/>
      </w:tblGrid>
      <w:tr>
        <w:trPr>
          <w:trHeight w:val="1508" w:hRule="atLeast"/>
        </w:trPr>
        <w:tc>
          <w:tcPr>
            <w:tcW w:w="2294" w:type="dxa"/>
            <w:vAlign w:val="top"/>
          </w:tcPr>
          <w:p>
            <w:pPr>
              <w:ind w:left="262"/>
              <w:spacing w:before="149" w:line="219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房建施工总承</w:t>
            </w:r>
          </w:p>
          <w:p>
            <w:pPr>
              <w:ind w:left="109"/>
              <w:spacing w:before="144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包（最高投标限</w:t>
            </w:r>
          </w:p>
          <w:p>
            <w:pPr>
              <w:ind w:left="855"/>
              <w:spacing w:before="146" w:line="215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价）</w:t>
            </w:r>
          </w:p>
        </w:tc>
        <w:tc>
          <w:tcPr>
            <w:tcW w:w="2679" w:type="dxa"/>
            <w:vAlign w:val="top"/>
          </w:tcPr>
          <w:p>
            <w:pPr>
              <w:spacing w:before="150" w:line="217" w:lineRule="auto"/>
              <w:jc w:val="right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8"/>
              </w:rPr>
              <w:t>市政（含园林绿化）</w:t>
            </w:r>
          </w:p>
          <w:p>
            <w:pPr>
              <w:ind w:left="149"/>
              <w:spacing w:before="146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施工总承包（最高</w:t>
            </w:r>
          </w:p>
          <w:p>
            <w:pPr>
              <w:ind w:left="600"/>
              <w:spacing w:before="146" w:line="215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投标限价）</w:t>
            </w:r>
          </w:p>
        </w:tc>
        <w:tc>
          <w:tcPr>
            <w:tcW w:w="42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8"/>
              <w:spacing w:before="97" w:line="217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3"/>
              </w:rPr>
              <w:t>评标分值（</w:t>
            </w:r>
            <w:r>
              <w:rPr>
                <w:spacing w:val="-13"/>
              </w:rPr>
              <w:t>0</w:t>
            </w:r>
            <w:r>
              <w:rPr>
                <w:spacing w:val="-30"/>
              </w:rPr>
              <w:t xml:space="preserve"> </w:t>
            </w:r>
            <w:r>
              <w:rPr>
                <w:rFonts w:ascii="FangSong" w:hAnsi="FangSong" w:eastAsia="FangSong" w:cs="FangSong"/>
                <w:spacing w:val="-13"/>
              </w:rPr>
              <w:t>～</w:t>
            </w:r>
            <w:r>
              <w:rPr>
                <w:rFonts w:ascii="FangSong" w:hAnsi="FangSong" w:eastAsia="FangSong" w:cs="FangSong"/>
                <w:spacing w:val="-67"/>
              </w:rPr>
              <w:t xml:space="preserve"> </w:t>
            </w:r>
            <w:r>
              <w:rPr>
                <w:spacing w:val="-13"/>
              </w:rPr>
              <w:t>1.5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13"/>
              </w:rPr>
              <w:t>分）</w:t>
            </w:r>
          </w:p>
        </w:tc>
      </w:tr>
      <w:tr>
        <w:trPr>
          <w:trHeight w:val="1164" w:hRule="atLeast"/>
        </w:trPr>
        <w:tc>
          <w:tcPr>
            <w:tcW w:w="229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/>
              <w:spacing w:before="98" w:line="217" w:lineRule="auto"/>
              <w:rPr>
                <w:rFonts w:ascii="FangSong" w:hAnsi="FangSong" w:eastAsia="FangSong" w:cs="FangSong"/>
              </w:rPr>
            </w:pPr>
            <w:r>
              <w:rPr>
                <w:spacing w:val="-11"/>
              </w:rPr>
              <w:t>1</w:t>
            </w:r>
            <w:r>
              <w:rPr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亿及以上</w:t>
            </w:r>
          </w:p>
        </w:tc>
        <w:tc>
          <w:tcPr>
            <w:tcW w:w="267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97" w:line="220" w:lineRule="auto"/>
              <w:rPr>
                <w:rFonts w:ascii="FangSong" w:hAnsi="FangSong" w:eastAsia="FangSong" w:cs="FangSong"/>
              </w:rPr>
            </w:pPr>
            <w:r>
              <w:rPr>
                <w:spacing w:val="-5"/>
              </w:rPr>
              <w:t>2500</w:t>
            </w:r>
            <w:r>
              <w:rPr>
                <w:spacing w:val="34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万及以上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17" w:right="179" w:hanging="8"/>
              <w:spacing w:before="211" w:line="290" w:lineRule="auto"/>
              <w:rPr>
                <w:rFonts w:ascii="FangSong" w:hAnsi="FangSong" w:eastAsia="FangSong" w:cs="FangSong"/>
              </w:rPr>
            </w:pPr>
            <w:r>
              <w:rPr>
                <w:spacing w:val="-11"/>
              </w:rPr>
              <w:t>A</w:t>
            </w:r>
            <w:r>
              <w:rPr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rFonts w:ascii="FangSong" w:hAnsi="FangSong" w:eastAsia="FangSong" w:cs="FangSong"/>
                <w:spacing w:val="-41"/>
              </w:rPr>
              <w:t xml:space="preserve"> </w:t>
            </w:r>
            <w:r>
              <w:rPr>
                <w:spacing w:val="-11"/>
              </w:rPr>
              <w:t>1.5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分，</w:t>
            </w:r>
            <w:r>
              <w:rPr>
                <w:spacing w:val="-11"/>
              </w:rPr>
              <w:t>B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rFonts w:ascii="FangSong" w:hAnsi="FangSong" w:eastAsia="FangSong" w:cs="FangSong"/>
                <w:spacing w:val="-41"/>
              </w:rPr>
              <w:t xml:space="preserve"> </w:t>
            </w:r>
            <w:r>
              <w:rPr>
                <w:spacing w:val="-11"/>
              </w:rPr>
              <w:t>1.2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分，</w:t>
            </w:r>
            <w:r>
              <w:rPr>
                <w:spacing w:val="-11"/>
              </w:rPr>
              <w:t>C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spacing w:val="-5"/>
              </w:rPr>
              <w:t>0.8 </w:t>
            </w:r>
            <w:r>
              <w:rPr>
                <w:rFonts w:ascii="FangSong" w:hAnsi="FangSong" w:eastAsia="FangSong" w:cs="FangSong"/>
                <w:spacing w:val="-5"/>
              </w:rPr>
              <w:t>分，</w:t>
            </w:r>
            <w:r>
              <w:rPr>
                <w:spacing w:val="-5"/>
              </w:rPr>
              <w:t>D</w:t>
            </w:r>
            <w:r>
              <w:rPr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级</w:t>
            </w:r>
            <w:r>
              <w:rPr>
                <w:rFonts w:ascii="FangSong" w:hAnsi="FangSong" w:eastAsia="FangSong" w:cs="FangSong"/>
                <w:spacing w:val="-63"/>
              </w:rPr>
              <w:t xml:space="preserve"> </w:t>
            </w:r>
            <w:r>
              <w:rPr>
                <w:spacing w:val="-5"/>
              </w:rPr>
              <w:t>0.4 </w:t>
            </w:r>
            <w:r>
              <w:rPr>
                <w:rFonts w:ascii="FangSong" w:hAnsi="FangSong" w:eastAsia="FangSong" w:cs="FangSong"/>
                <w:spacing w:val="-5"/>
              </w:rPr>
              <w:t>分，</w:t>
            </w:r>
            <w:r>
              <w:rPr>
                <w:spacing w:val="-5"/>
              </w:rPr>
              <w:t>E</w:t>
            </w:r>
            <w:r>
              <w:rPr>
                <w:spacing w:val="26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级</w:t>
            </w:r>
            <w:r>
              <w:rPr>
                <w:rFonts w:ascii="FangSong" w:hAnsi="FangSong" w:eastAsia="FangSong" w:cs="FangSong"/>
                <w:spacing w:val="-65"/>
              </w:rPr>
              <w:t xml:space="preserve"> </w:t>
            </w:r>
            <w:r>
              <w:rPr>
                <w:spacing w:val="-5"/>
              </w:rPr>
              <w:t>0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分</w:t>
            </w:r>
          </w:p>
        </w:tc>
      </w:tr>
      <w:tr>
        <w:trPr>
          <w:trHeight w:val="1164" w:hRule="atLeast"/>
        </w:trPr>
        <w:tc>
          <w:tcPr>
            <w:tcW w:w="2294" w:type="dxa"/>
            <w:vAlign w:val="top"/>
          </w:tcPr>
          <w:p>
            <w:pPr>
              <w:pStyle w:val="TableText"/>
              <w:ind w:left="1014" w:right="107" w:hanging="893"/>
              <w:spacing w:before="211" w:line="290" w:lineRule="auto"/>
              <w:rPr>
                <w:rFonts w:ascii="FangSong" w:hAnsi="FangSong" w:eastAsia="FangSong" w:cs="FangSong"/>
              </w:rPr>
            </w:pPr>
            <w:r>
              <w:rPr>
                <w:spacing w:val="-10"/>
              </w:rPr>
              <w:t>5000</w:t>
            </w:r>
            <w:r>
              <w:rPr>
                <w:spacing w:val="34"/>
              </w:rPr>
              <w:t xml:space="preserve"> </w:t>
            </w:r>
            <w:r>
              <w:rPr>
                <w:rFonts w:ascii="FangSong" w:hAnsi="FangSong" w:eastAsia="FangSong" w:cs="FangSong"/>
                <w:spacing w:val="-10"/>
              </w:rPr>
              <w:t>万（含）</w:t>
            </w:r>
            <w:r>
              <w:rPr>
                <w:spacing w:val="-10"/>
              </w:rPr>
              <w:t>-1</w:t>
            </w:r>
            <w:r>
              <w:rPr>
                <w:rFonts w:ascii="FangSong" w:hAnsi="FangSong" w:eastAsia="FangSong" w:cs="FangSong"/>
              </w:rPr>
              <w:t>亿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37"/>
              <w:spacing w:before="210" w:line="219" w:lineRule="auto"/>
              <w:rPr/>
            </w:pPr>
            <w:r>
              <w:rPr>
                <w:spacing w:val="-14"/>
              </w:rPr>
              <w:t>1500</w:t>
            </w:r>
            <w:r>
              <w:rPr>
                <w:spacing w:val="38"/>
              </w:rPr>
              <w:t xml:space="preserve"> </w:t>
            </w:r>
            <w:r>
              <w:rPr>
                <w:rFonts w:ascii="FangSong" w:hAnsi="FangSong" w:eastAsia="FangSong" w:cs="FangSong"/>
                <w:spacing w:val="-14"/>
              </w:rPr>
              <w:t>万（含）</w:t>
            </w:r>
            <w:r>
              <w:rPr>
                <w:spacing w:val="-14"/>
              </w:rPr>
              <w:t>-2500</w:t>
            </w:r>
          </w:p>
          <w:p>
            <w:pPr>
              <w:ind w:left="1213"/>
              <w:spacing w:before="225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</w:rPr>
              <w:t>万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41" w:right="179" w:hanging="32"/>
              <w:spacing w:before="211" w:line="290" w:lineRule="auto"/>
              <w:rPr>
                <w:rFonts w:ascii="FangSong" w:hAnsi="FangSong" w:eastAsia="FangSong" w:cs="FangSong"/>
              </w:rPr>
            </w:pPr>
            <w:r>
              <w:rPr>
                <w:spacing w:val="-11"/>
              </w:rPr>
              <w:t>A</w:t>
            </w:r>
            <w:r>
              <w:rPr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rFonts w:ascii="FangSong" w:hAnsi="FangSong" w:eastAsia="FangSong" w:cs="FangSong"/>
                <w:spacing w:val="-41"/>
              </w:rPr>
              <w:t xml:space="preserve"> </w:t>
            </w:r>
            <w:r>
              <w:rPr>
                <w:spacing w:val="-11"/>
              </w:rPr>
              <w:t>1.5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分，</w:t>
            </w:r>
            <w:r>
              <w:rPr>
                <w:spacing w:val="-11"/>
              </w:rPr>
              <w:t>B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rFonts w:ascii="FangSong" w:hAnsi="FangSong" w:eastAsia="FangSong" w:cs="FangSong"/>
                <w:spacing w:val="-41"/>
              </w:rPr>
              <w:t xml:space="preserve"> </w:t>
            </w:r>
            <w:r>
              <w:rPr>
                <w:spacing w:val="-11"/>
              </w:rPr>
              <w:t>1.3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分，</w:t>
            </w:r>
            <w:r>
              <w:rPr>
                <w:spacing w:val="-11"/>
              </w:rPr>
              <w:t>C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spacing w:val="-7"/>
              </w:rPr>
              <w:t>1.0 </w:t>
            </w:r>
            <w:r>
              <w:rPr>
                <w:rFonts w:ascii="FangSong" w:hAnsi="FangSong" w:eastAsia="FangSong" w:cs="FangSong"/>
                <w:spacing w:val="-7"/>
              </w:rPr>
              <w:t>分，</w:t>
            </w:r>
            <w:r>
              <w:rPr>
                <w:spacing w:val="-7"/>
              </w:rPr>
              <w:t>D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级</w:t>
            </w:r>
            <w:r>
              <w:rPr>
                <w:rFonts w:ascii="FangSong" w:hAnsi="FangSong" w:eastAsia="FangSong" w:cs="FangSong"/>
                <w:spacing w:val="-63"/>
              </w:rPr>
              <w:t xml:space="preserve"> </w:t>
            </w:r>
            <w:r>
              <w:rPr>
                <w:spacing w:val="-7"/>
              </w:rPr>
              <w:t>0.5 </w:t>
            </w:r>
            <w:r>
              <w:rPr>
                <w:rFonts w:ascii="FangSong" w:hAnsi="FangSong" w:eastAsia="FangSong" w:cs="FangSong"/>
                <w:spacing w:val="-7"/>
              </w:rPr>
              <w:t>分，</w:t>
            </w:r>
            <w:r>
              <w:rPr>
                <w:spacing w:val="-7"/>
              </w:rPr>
              <w:t>E</w:t>
            </w:r>
            <w:r>
              <w:rPr>
                <w:spacing w:val="26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级</w:t>
            </w:r>
            <w:r>
              <w:rPr>
                <w:rFonts w:ascii="FangSong" w:hAnsi="FangSong" w:eastAsia="FangSong" w:cs="FangSong"/>
                <w:spacing w:val="-65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分</w:t>
            </w:r>
          </w:p>
        </w:tc>
      </w:tr>
      <w:tr>
        <w:trPr>
          <w:trHeight w:val="1164" w:hRule="atLeast"/>
        </w:trPr>
        <w:tc>
          <w:tcPr>
            <w:tcW w:w="2294" w:type="dxa"/>
            <w:vAlign w:val="top"/>
          </w:tcPr>
          <w:p>
            <w:pPr>
              <w:pStyle w:val="TableText"/>
              <w:ind w:left="214"/>
              <w:spacing w:before="212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5"/>
              </w:rPr>
              <w:t>2000</w:t>
            </w:r>
            <w:r>
              <w:rPr>
                <w:spacing w:val="32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万（含）</w:t>
            </w:r>
          </w:p>
          <w:p>
            <w:pPr>
              <w:pStyle w:val="TableText"/>
              <w:ind w:left="618"/>
              <w:spacing w:before="222" w:line="221" w:lineRule="auto"/>
              <w:rPr>
                <w:rFonts w:ascii="FangSong" w:hAnsi="FangSong" w:eastAsia="FangSong" w:cs="FangSong"/>
              </w:rPr>
            </w:pPr>
            <w:r>
              <w:rPr>
                <w:spacing w:val="-2"/>
              </w:rPr>
              <w:t>-5000</w:t>
            </w:r>
            <w:r>
              <w:rPr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</w:rPr>
              <w:t>万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37"/>
              <w:spacing w:before="212" w:line="219" w:lineRule="auto"/>
              <w:rPr/>
            </w:pPr>
            <w:r>
              <w:rPr>
                <w:spacing w:val="-14"/>
              </w:rPr>
              <w:t>1000</w:t>
            </w:r>
            <w:r>
              <w:rPr>
                <w:spacing w:val="38"/>
              </w:rPr>
              <w:t xml:space="preserve"> </w:t>
            </w:r>
            <w:r>
              <w:rPr>
                <w:rFonts w:ascii="FangSong" w:hAnsi="FangSong" w:eastAsia="FangSong" w:cs="FangSong"/>
                <w:spacing w:val="-14"/>
              </w:rPr>
              <w:t>万（含）</w:t>
            </w:r>
            <w:r>
              <w:rPr>
                <w:spacing w:val="-14"/>
              </w:rPr>
              <w:t>-1500</w:t>
            </w:r>
          </w:p>
          <w:p>
            <w:pPr>
              <w:ind w:left="1213"/>
              <w:spacing w:before="222" w:line="221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</w:rPr>
              <w:t>万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41" w:right="179" w:hanging="32"/>
              <w:spacing w:before="214" w:line="289" w:lineRule="auto"/>
              <w:rPr>
                <w:rFonts w:ascii="FangSong" w:hAnsi="FangSong" w:eastAsia="FangSong" w:cs="FangSong"/>
              </w:rPr>
            </w:pPr>
            <w:r>
              <w:rPr>
                <w:spacing w:val="-11"/>
              </w:rPr>
              <w:t>A</w:t>
            </w:r>
            <w:r>
              <w:rPr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rFonts w:ascii="FangSong" w:hAnsi="FangSong" w:eastAsia="FangSong" w:cs="FangSong"/>
                <w:spacing w:val="-41"/>
              </w:rPr>
              <w:t xml:space="preserve"> </w:t>
            </w:r>
            <w:r>
              <w:rPr>
                <w:spacing w:val="-11"/>
              </w:rPr>
              <w:t>1.5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分，</w:t>
            </w:r>
            <w:r>
              <w:rPr>
                <w:spacing w:val="-11"/>
              </w:rPr>
              <w:t>B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rFonts w:ascii="FangSong" w:hAnsi="FangSong" w:eastAsia="FangSong" w:cs="FangSong"/>
                <w:spacing w:val="-41"/>
              </w:rPr>
              <w:t xml:space="preserve"> </w:t>
            </w:r>
            <w:r>
              <w:rPr>
                <w:spacing w:val="-11"/>
              </w:rPr>
              <w:t>1.3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分，</w:t>
            </w:r>
            <w:r>
              <w:rPr>
                <w:spacing w:val="-11"/>
              </w:rPr>
              <w:t>C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spacing w:val="-7"/>
              </w:rPr>
              <w:t>1.0 </w:t>
            </w:r>
            <w:r>
              <w:rPr>
                <w:rFonts w:ascii="FangSong" w:hAnsi="FangSong" w:eastAsia="FangSong" w:cs="FangSong"/>
                <w:spacing w:val="-7"/>
              </w:rPr>
              <w:t>分，</w:t>
            </w:r>
            <w:r>
              <w:rPr>
                <w:spacing w:val="-7"/>
              </w:rPr>
              <w:t>D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级</w:t>
            </w:r>
            <w:r>
              <w:rPr>
                <w:rFonts w:ascii="FangSong" w:hAnsi="FangSong" w:eastAsia="FangSong" w:cs="FangSong"/>
                <w:spacing w:val="-63"/>
              </w:rPr>
              <w:t xml:space="preserve"> </w:t>
            </w:r>
            <w:r>
              <w:rPr>
                <w:spacing w:val="-7"/>
              </w:rPr>
              <w:t>0.8 </w:t>
            </w:r>
            <w:r>
              <w:rPr>
                <w:rFonts w:ascii="FangSong" w:hAnsi="FangSong" w:eastAsia="FangSong" w:cs="FangSong"/>
                <w:spacing w:val="-7"/>
              </w:rPr>
              <w:t>分、</w:t>
            </w:r>
            <w:r>
              <w:rPr>
                <w:spacing w:val="-7"/>
              </w:rPr>
              <w:t>E</w:t>
            </w:r>
            <w:r>
              <w:rPr>
                <w:spacing w:val="26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级</w:t>
            </w:r>
            <w:r>
              <w:rPr>
                <w:rFonts w:ascii="FangSong" w:hAnsi="FangSong" w:eastAsia="FangSong" w:cs="FangSong"/>
                <w:spacing w:val="-65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</w:rPr>
              <w:t>分</w:t>
            </w:r>
          </w:p>
        </w:tc>
      </w:tr>
      <w:tr>
        <w:trPr>
          <w:trHeight w:val="1169" w:hRule="atLeast"/>
        </w:trPr>
        <w:tc>
          <w:tcPr>
            <w:tcW w:w="229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98" w:line="217" w:lineRule="auto"/>
              <w:rPr>
                <w:rFonts w:ascii="FangSong" w:hAnsi="FangSong" w:eastAsia="FangSong" w:cs="FangSong"/>
              </w:rPr>
            </w:pPr>
            <w:r>
              <w:rPr>
                <w:spacing w:val="-5"/>
              </w:rPr>
              <w:t>2000</w:t>
            </w:r>
            <w:r>
              <w:rPr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</w:rPr>
              <w:t>万以下</w:t>
            </w:r>
          </w:p>
        </w:tc>
        <w:tc>
          <w:tcPr>
            <w:tcW w:w="267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"/>
              <w:spacing w:before="98" w:line="217" w:lineRule="auto"/>
              <w:rPr>
                <w:rFonts w:ascii="FangSong" w:hAnsi="FangSong" w:eastAsia="FangSong" w:cs="FangSong"/>
              </w:rPr>
            </w:pPr>
            <w:r>
              <w:rPr>
                <w:spacing w:val="-9"/>
              </w:rPr>
              <w:t>1000</w:t>
            </w:r>
            <w:r>
              <w:rPr>
                <w:spacing w:val="26"/>
              </w:rPr>
              <w:t xml:space="preserve"> </w:t>
            </w:r>
            <w:r>
              <w:rPr>
                <w:rFonts w:ascii="FangSong" w:hAnsi="FangSong" w:eastAsia="FangSong" w:cs="FangSong"/>
                <w:spacing w:val="-9"/>
              </w:rPr>
              <w:t>万以下</w:t>
            </w:r>
          </w:p>
        </w:tc>
        <w:tc>
          <w:tcPr>
            <w:tcW w:w="4280" w:type="dxa"/>
            <w:vAlign w:val="top"/>
          </w:tcPr>
          <w:p>
            <w:pPr>
              <w:pStyle w:val="TableText"/>
              <w:ind w:left="112" w:right="29" w:hanging="3"/>
              <w:spacing w:before="213" w:line="291" w:lineRule="auto"/>
              <w:rPr>
                <w:rFonts w:ascii="FangSong" w:hAnsi="FangSong" w:eastAsia="FangSong" w:cs="FangSong"/>
              </w:rPr>
            </w:pPr>
            <w:r>
              <w:rPr>
                <w:spacing w:val="-37"/>
              </w:rPr>
              <w:t>A </w:t>
            </w:r>
            <w:r>
              <w:rPr>
                <w:rFonts w:ascii="FangSong" w:hAnsi="FangSong" w:eastAsia="FangSong" w:cs="FangSong"/>
                <w:spacing w:val="-37"/>
              </w:rPr>
              <w:t>级、</w:t>
            </w:r>
            <w:r>
              <w:rPr>
                <w:spacing w:val="-37"/>
              </w:rPr>
              <w:t>B </w:t>
            </w:r>
            <w:r>
              <w:rPr>
                <w:rFonts w:ascii="FangSong" w:hAnsi="FangSong" w:eastAsia="FangSong" w:cs="FangSong"/>
                <w:spacing w:val="-37"/>
              </w:rPr>
              <w:t>级</w:t>
            </w:r>
            <w:r>
              <w:rPr>
                <w:rFonts w:ascii="FangSong" w:hAnsi="FangSong" w:eastAsia="FangSong" w:cs="FangSong"/>
                <w:spacing w:val="40"/>
              </w:rPr>
              <w:t xml:space="preserve"> </w:t>
            </w:r>
            <w:r>
              <w:rPr>
                <w:spacing w:val="-37"/>
              </w:rPr>
              <w:t>1.5</w:t>
            </w:r>
            <w:r>
              <w:rPr>
                <w:spacing w:val="-24"/>
              </w:rPr>
              <w:t xml:space="preserve"> </w:t>
            </w:r>
            <w:r>
              <w:rPr>
                <w:rFonts w:ascii="FangSong" w:hAnsi="FangSong" w:eastAsia="FangSong" w:cs="FangSong"/>
                <w:spacing w:val="-37"/>
              </w:rPr>
              <w:t>分，</w:t>
            </w:r>
            <w:r>
              <w:rPr>
                <w:spacing w:val="-37"/>
              </w:rPr>
              <w:t>C</w:t>
            </w:r>
            <w:r>
              <w:rPr>
                <w:rFonts w:ascii="FangSong" w:hAnsi="FangSong" w:eastAsia="FangSong" w:cs="FangSong"/>
                <w:spacing w:val="-37"/>
              </w:rPr>
              <w:t>、</w:t>
            </w:r>
            <w:r>
              <w:rPr>
                <w:spacing w:val="-37"/>
              </w:rPr>
              <w:t>D </w:t>
            </w:r>
            <w:r>
              <w:rPr>
                <w:rFonts w:ascii="FangSong" w:hAnsi="FangSong" w:eastAsia="FangSong" w:cs="FangSong"/>
                <w:spacing w:val="-37"/>
              </w:rPr>
              <w:t>级</w:t>
            </w:r>
            <w:r>
              <w:rPr>
                <w:rFonts w:ascii="FangSong" w:hAnsi="FangSong" w:eastAsia="FangSong" w:cs="FangSong"/>
                <w:spacing w:val="36"/>
              </w:rPr>
              <w:t xml:space="preserve"> </w:t>
            </w:r>
            <w:r>
              <w:rPr>
                <w:spacing w:val="-37"/>
              </w:rPr>
              <w:t>1</w:t>
            </w:r>
            <w:r>
              <w:rPr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pacing w:val="-37"/>
              </w:rPr>
              <w:t>分，</w:t>
            </w:r>
            <w:r>
              <w:rPr>
                <w:rFonts w:ascii="FangSong" w:hAnsi="FangSong" w:eastAsia="FangSong" w:cs="FangSong"/>
                <w:spacing w:val="1"/>
              </w:rPr>
              <w:t xml:space="preserve"> </w:t>
            </w:r>
            <w:r>
              <w:rPr>
                <w:spacing w:val="-11"/>
              </w:rPr>
              <w:t>E</w:t>
            </w:r>
            <w:r>
              <w:rPr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级</w:t>
            </w:r>
            <w:r>
              <w:rPr>
                <w:rFonts w:ascii="FangSong" w:hAnsi="FangSong" w:eastAsia="FangSong" w:cs="FangSong"/>
                <w:spacing w:val="-65"/>
              </w:rPr>
              <w:t xml:space="preserve"> </w:t>
            </w:r>
            <w:r>
              <w:rPr>
                <w:spacing w:val="-11"/>
              </w:rPr>
              <w:t>0</w:t>
            </w:r>
            <w:r>
              <w:rPr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</w:rPr>
              <w:t>分</w:t>
            </w:r>
          </w:p>
        </w:tc>
      </w:tr>
    </w:tbl>
    <w:p>
      <w:pPr>
        <w:pStyle w:val="BodyText"/>
        <w:ind w:left="337" w:right="317" w:firstLine="630"/>
        <w:spacing w:before="254" w:line="393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3"/>
        </w:rPr>
        <w:t>2.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23"/>
        </w:rPr>
        <w:t>对进入评分范围的投标人拟派项目负责人进行</w:t>
      </w:r>
      <w:r>
        <w:rPr>
          <w:spacing w:val="22"/>
        </w:rPr>
        <w:t>资信评</w:t>
      </w:r>
      <w:r>
        <w:rPr>
          <w:spacing w:val="8"/>
        </w:rPr>
        <w:t>审，资信评审为信用评价得分：信用评价以投标截止时间上一</w:t>
      </w:r>
      <w:r>
        <w:rPr>
          <w:spacing w:val="-10"/>
        </w:rPr>
        <w:t>旬（</w:t>
      </w:r>
      <w:r>
        <w:rPr>
          <w:spacing w:val="-70"/>
        </w:rPr>
        <w:t xml:space="preserve"> </w:t>
      </w:r>
      <w:r>
        <w:rPr>
          <w:spacing w:val="-10"/>
        </w:rPr>
        <w:t>即投标截止时间在当月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1-10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0"/>
        </w:rPr>
        <w:t>号的，以上月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21-31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0"/>
        </w:rPr>
        <w:t>号发布的最</w:t>
      </w:r>
      <w:r>
        <w:rPr>
          <w:spacing w:val="-5"/>
        </w:rPr>
        <w:t>新一期得分为准；投标截止时间在当月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11-20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5"/>
        </w:rPr>
        <w:t>号</w:t>
      </w:r>
      <w:r>
        <w:rPr>
          <w:spacing w:val="-6"/>
        </w:rPr>
        <w:t>的，以当月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1-10</w:t>
      </w:r>
    </w:p>
    <w:p>
      <w:pPr>
        <w:spacing w:line="393" w:lineRule="auto"/>
        <w:sectPr>
          <w:footerReference w:type="default" r:id="rId24"/>
          <w:pgSz w:w="11906" w:h="16839"/>
          <w:pgMar w:top="1431" w:right="1324" w:bottom="1157" w:left="1323" w:header="0" w:footer="992" w:gutter="0"/>
        </w:sectPr>
        <w:rPr>
          <w:rFonts w:ascii="Times New Roman" w:hAnsi="Times New Roman" w:eastAsia="Times New Roman" w:cs="Times New Roman"/>
        </w:rPr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7" w:firstLine="12"/>
        <w:spacing w:before="101" w:line="393" w:lineRule="auto"/>
        <w:jc w:val="both"/>
        <w:rPr/>
      </w:pPr>
      <w:r>
        <w:rPr>
          <w:spacing w:val="-3"/>
        </w:rPr>
        <w:t>号发布的最新一期得分为准；投标截止时间在当月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21-31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3"/>
        </w:rPr>
        <w:t>号的，</w:t>
      </w:r>
      <w:r>
        <w:rPr>
          <w:spacing w:val="-3"/>
        </w:rPr>
        <w:t>以当月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11-20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3"/>
        </w:rPr>
        <w:t>号发布的最新一期得分为准）全省注册建造师信用</w:t>
      </w:r>
      <w:r>
        <w:rPr>
          <w:spacing w:val="9"/>
        </w:rPr>
        <w:t>评价管理应用中发布的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注册建造师得分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为准，提供多个拟派</w:t>
      </w:r>
      <w:r>
        <w:rPr>
          <w:spacing w:val="8"/>
        </w:rPr>
        <w:t>项目负责人的以信用评价得分低的人员为准，未提供或者提供</w:t>
      </w:r>
      <w:r>
        <w:rPr>
          <w:spacing w:val="4"/>
        </w:rPr>
        <w:t>不全的按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 </w:t>
      </w:r>
      <w:r>
        <w:rPr>
          <w:spacing w:val="4"/>
        </w:rPr>
        <w:t>分计。</w:t>
      </w:r>
    </w:p>
    <w:p>
      <w:pPr>
        <w:pStyle w:val="BodyText"/>
        <w:ind w:left="15" w:firstLine="636"/>
        <w:spacing w:before="3" w:line="391" w:lineRule="auto"/>
        <w:jc w:val="both"/>
        <w:rPr/>
      </w:pPr>
      <w:r>
        <w:rPr>
          <w:spacing w:val="8"/>
        </w:rPr>
        <w:t>项目负责人信用评价得分（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8"/>
        </w:rPr>
        <w:t>～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0.5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分</w:t>
      </w:r>
      <w:r>
        <w:rPr>
          <w:spacing w:val="-72"/>
        </w:rPr>
        <w:t>）：</w:t>
      </w:r>
      <w:r>
        <w:rPr>
          <w:spacing w:val="8"/>
        </w:rPr>
        <w:t>招标人根据正式</w:t>
      </w:r>
      <w:r>
        <w:rPr>
          <w:spacing w:val="17"/>
        </w:rPr>
        <w:t>上线发布的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注册建造师得分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作相应赋分</w:t>
      </w:r>
      <w:r>
        <w:rPr>
          <w:rFonts w:ascii="Times New Roman" w:hAnsi="Times New Roman" w:eastAsia="Times New Roman" w:cs="Times New Roman"/>
          <w:spacing w:val="17"/>
        </w:rPr>
        <w:t>,</w:t>
      </w:r>
      <w:r>
        <w:rPr>
          <w:spacing w:val="17"/>
        </w:rPr>
        <w:t>该功能未上线发布</w:t>
      </w:r>
      <w:r>
        <w:rPr>
          <w:spacing w:val="6"/>
        </w:rPr>
        <w:t>前，投标人均按满分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0.5 </w:t>
      </w:r>
      <w:r>
        <w:rPr>
          <w:spacing w:val="6"/>
        </w:rPr>
        <w:t>分计取。</w:t>
      </w:r>
    </w:p>
    <w:p>
      <w:pPr>
        <w:ind w:left="658"/>
        <w:spacing w:before="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六、其他要求</w:t>
      </w:r>
    </w:p>
    <w:p>
      <w:pPr>
        <w:pStyle w:val="BodyText"/>
        <w:ind w:firstLine="657"/>
        <w:spacing w:before="283" w:line="368" w:lineRule="auto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1.</w:t>
      </w:r>
      <w:r>
        <w:rPr>
          <w:b/>
          <w:bCs/>
          <w:spacing w:val="10"/>
        </w:rPr>
        <w:t>关于风险控制价。</w:t>
      </w:r>
      <w:r>
        <w:rPr>
          <w:spacing w:val="10"/>
        </w:rPr>
        <w:t>原《浙江省房屋建筑和市政</w:t>
      </w:r>
      <w:r>
        <w:rPr>
          <w:spacing w:val="9"/>
        </w:rPr>
        <w:t>基础设施</w:t>
      </w:r>
      <w:r>
        <w:rPr>
          <w:spacing w:val="2"/>
        </w:rPr>
        <w:t>施工招标文件示范文本（</w:t>
      </w:r>
      <w:r>
        <w:rPr>
          <w:rFonts w:ascii="Times New Roman" w:hAnsi="Times New Roman" w:eastAsia="Times New Roman" w:cs="Times New Roman"/>
          <w:spacing w:val="2"/>
        </w:rPr>
        <w:t>2024 </w:t>
      </w:r>
      <w:r>
        <w:rPr>
          <w:spacing w:val="2"/>
        </w:rPr>
        <w:t>版）》中投标人须知前附表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3.2.4</w:t>
      </w:r>
      <w:r>
        <w:rPr>
          <w:spacing w:val="10"/>
        </w:rPr>
        <w:t>中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风险控制价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改为：为防止投标人恶意低价竞标</w:t>
      </w:r>
      <w:r>
        <w:rPr>
          <w:spacing w:val="9"/>
        </w:rPr>
        <w:t>，可设置风</w:t>
      </w:r>
      <w:r>
        <w:rPr>
          <w:spacing w:val="5"/>
        </w:rPr>
        <w:t>险控制价。风险控制价的确定方法：最高投标限价的（</w:t>
      </w:r>
      <w:r>
        <w:rPr>
          <w:spacing w:val="-48"/>
        </w:rPr>
        <w:t xml:space="preserve"> </w:t>
      </w:r>
      <w:r>
        <w:rPr>
          <w:spacing w:val="5"/>
        </w:rPr>
        <w:t>由招标</w:t>
      </w:r>
      <w:r>
        <w:rPr>
          <w:spacing w:val="11"/>
        </w:rPr>
        <w:t>人在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80</w:t>
      </w:r>
      <w:r>
        <w:rPr>
          <w:spacing w:val="11"/>
        </w:rPr>
        <w:t>～</w:t>
      </w:r>
      <w:r>
        <w:rPr>
          <w:rFonts w:ascii="Times New Roman" w:hAnsi="Times New Roman" w:eastAsia="Times New Roman" w:cs="Times New Roman"/>
          <w:spacing w:val="11"/>
        </w:rPr>
        <w:t>90%</w:t>
      </w:r>
      <w:r>
        <w:rPr>
          <w:spacing w:val="11"/>
        </w:rPr>
        <w:t>之间选定一个数值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X%</w:t>
      </w:r>
      <w:r>
        <w:rPr>
          <w:spacing w:val="11"/>
        </w:rPr>
        <w:t>，开标时，抽取数值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P%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P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从</w:t>
      </w:r>
      <w:r>
        <w:rPr>
          <w:rFonts w:ascii="Times New Roman" w:hAnsi="Times New Roman" w:eastAsia="Times New Roman" w:cs="Times New Roman"/>
          <w:spacing w:val="-6"/>
        </w:rPr>
        <w:t>-1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-0.75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-0.5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-0.25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0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6"/>
        </w:rPr>
        <w:t>0.25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6"/>
        </w:rPr>
        <w:t>、</w:t>
      </w:r>
      <w:r>
        <w:rPr>
          <w:rFonts w:ascii="Times New Roman" w:hAnsi="Times New Roman" w:eastAsia="Times New Roman" w:cs="Times New Roman"/>
          <w:spacing w:val="-7"/>
        </w:rPr>
        <w:t>0.5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0.75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7"/>
        </w:rPr>
        <w:t>、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7"/>
        </w:rPr>
        <w:t>等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7"/>
        </w:rPr>
        <w:t>个数</w:t>
      </w:r>
      <w:r>
        <w:rPr>
          <w:spacing w:val="7"/>
        </w:rPr>
        <w:t>值中随机抽取</w:t>
      </w:r>
      <w:r>
        <w:rPr>
          <w:spacing w:val="-55"/>
        </w:rPr>
        <w:t>），</w:t>
      </w:r>
      <w:r>
        <w:rPr>
          <w:spacing w:val="7"/>
        </w:rPr>
        <w:t>最终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X+P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>%</w:t>
      </w:r>
      <w:r>
        <w:rPr>
          <w:spacing w:val="7"/>
        </w:rPr>
        <w:t>作为风险控制价。</w:t>
      </w:r>
    </w:p>
    <w:p>
      <w:pPr>
        <w:pStyle w:val="BodyText"/>
        <w:ind w:left="7" w:firstLine="636"/>
        <w:spacing w:before="289" w:line="350" w:lineRule="auto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2.</w:t>
      </w:r>
      <w:r>
        <w:rPr>
          <w:b/>
          <w:bCs/>
          <w:spacing w:val="10"/>
        </w:rPr>
        <w:t>关于投标文件页数。</w:t>
      </w:r>
      <w:r>
        <w:rPr>
          <w:spacing w:val="10"/>
        </w:rPr>
        <w:t>技术标打分制的综合评估法技术标</w:t>
      </w:r>
      <w:r>
        <w:rPr>
          <w:spacing w:val="5"/>
        </w:rPr>
        <w:t>文件部分内容原则上不得超过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5"/>
        </w:rPr>
        <w:t>页（技术特别复杂的项目经</w:t>
      </w:r>
      <w:r>
        <w:rPr>
          <w:spacing w:val="11"/>
        </w:rPr>
        <w:t>监管部门同意后可允许不超过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150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11"/>
        </w:rPr>
        <w:t>页</w:t>
      </w:r>
      <w:r>
        <w:rPr>
          <w:spacing w:val="-72"/>
        </w:rPr>
        <w:t>）；</w:t>
      </w:r>
      <w:r>
        <w:rPr>
          <w:spacing w:val="11"/>
        </w:rPr>
        <w:t>技术标通过制的综合</w:t>
      </w:r>
      <w:r>
        <w:rPr>
          <w:spacing w:val="21"/>
        </w:rPr>
        <w:t>评估法和经评审的最低投标价法技术标文件部分内容原</w:t>
      </w:r>
      <w:r>
        <w:rPr>
          <w:spacing w:val="20"/>
        </w:rPr>
        <w:t>则上</w:t>
      </w:r>
    </w:p>
    <w:p>
      <w:pPr>
        <w:spacing w:line="350" w:lineRule="auto"/>
        <w:sectPr>
          <w:footerReference w:type="default" r:id="rId25"/>
          <w:pgSz w:w="11906" w:h="16839"/>
          <w:pgMar w:top="1431" w:right="1643" w:bottom="1157" w:left="1648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9" w:hanging="1"/>
        <w:spacing w:before="101" w:line="393" w:lineRule="auto"/>
        <w:jc w:val="both"/>
        <w:rPr/>
      </w:pPr>
      <w:r>
        <w:rPr>
          <w:spacing w:val="10"/>
        </w:rPr>
        <w:t>不得超过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10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10"/>
        </w:rPr>
        <w:t>页；投标人违反上述要求的，采用技术标打分制</w:t>
      </w:r>
      <w:r>
        <w:rPr>
          <w:spacing w:val="7"/>
        </w:rPr>
        <w:t>的综合评估法的，其技术标打分按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0 </w:t>
      </w:r>
      <w:r>
        <w:rPr>
          <w:spacing w:val="7"/>
        </w:rPr>
        <w:t>分计；采用技术标通过制</w:t>
      </w:r>
      <w:r>
        <w:rPr>
          <w:spacing w:val="20"/>
        </w:rPr>
        <w:t>的综合评估法和经评审的最低投标价法的，其投标将予以否</w:t>
      </w:r>
      <w:r>
        <w:rPr>
          <w:spacing w:val="-6"/>
        </w:rPr>
        <w:t>决。</w:t>
      </w:r>
    </w:p>
    <w:p>
      <w:pPr>
        <w:pStyle w:val="BodyText"/>
        <w:ind w:firstLine="636"/>
        <w:spacing w:before="2" w:line="350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3.</w:t>
      </w:r>
      <w:r>
        <w:rPr>
          <w:b/>
          <w:bCs/>
          <w:spacing w:val="4"/>
        </w:rPr>
        <w:t>关于项目管理班子要求。</w:t>
      </w:r>
      <w:r>
        <w:rPr>
          <w:spacing w:val="4"/>
        </w:rPr>
        <w:t>投标人提供的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项目管理班子成</w:t>
      </w:r>
      <w:r>
        <w:rPr>
          <w:spacing w:val="10"/>
        </w:rPr>
        <w:t>员信息表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人员名单的人员应在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浙江省建筑</w:t>
      </w:r>
      <w:r>
        <w:rPr>
          <w:spacing w:val="9"/>
        </w:rPr>
        <w:t>市场监管公共服务</w:t>
      </w:r>
      <w:r>
        <w:rPr>
          <w:spacing w:val="15"/>
        </w:rPr>
        <w:t>系统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spacing w:val="15"/>
        </w:rPr>
        <w:t>企业入库人员名单录入（包括省内和省外企业，投标人</w:t>
      </w:r>
      <w:r>
        <w:rPr>
          <w:spacing w:val="-5"/>
        </w:rPr>
        <w:t>提供系统截图页面）。</w:t>
      </w:r>
    </w:p>
    <w:p>
      <w:pPr>
        <w:pStyle w:val="BodyText"/>
        <w:ind w:left="10" w:right="2" w:firstLine="628"/>
        <w:spacing w:before="285" w:line="307" w:lineRule="auto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4.</w:t>
      </w:r>
      <w:r>
        <w:rPr>
          <w:b/>
          <w:bCs/>
          <w:spacing w:val="10"/>
        </w:rPr>
        <w:t>关于投标报价签章要求。</w:t>
      </w:r>
      <w:r>
        <w:rPr>
          <w:spacing w:val="10"/>
        </w:rPr>
        <w:t>投标报价文件应当由注</w:t>
      </w:r>
      <w:r>
        <w:rPr>
          <w:spacing w:val="9"/>
        </w:rPr>
        <w:t>册造价</w:t>
      </w:r>
      <w:r>
        <w:rPr>
          <w:spacing w:val="8"/>
        </w:rPr>
        <w:t>工程师签字并加盖注册造价工程师执业专用章。</w:t>
      </w:r>
    </w:p>
    <w:p>
      <w:pPr>
        <w:spacing w:line="307" w:lineRule="auto"/>
        <w:sectPr>
          <w:footerReference w:type="default" r:id="rId26"/>
          <w:pgSz w:w="11906" w:h="16839"/>
          <w:pgMar w:top="1431" w:right="1643" w:bottom="1157" w:left="1653" w:header="0" w:footer="992" w:gutter="0"/>
        </w:sectPr>
        <w:rPr/>
      </w:pPr>
    </w:p>
    <w:p>
      <w:pPr>
        <w:spacing w:line="316" w:lineRule="auto"/>
        <w:rPr>
          <w:rFonts w:ascii="Arial"/>
          <w:sz w:val="21"/>
        </w:rPr>
      </w:pPr>
      <w:r/>
    </w:p>
    <w:p>
      <w:pPr>
        <w:ind w:left="732"/>
        <w:spacing w:before="114" w:line="227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第二部分</w:t>
      </w:r>
      <w:r>
        <w:rPr>
          <w:rFonts w:ascii="SimHei" w:hAnsi="SimHei" w:eastAsia="SimHei" w:cs="SimHei"/>
          <w:sz w:val="35"/>
          <w:szCs w:val="35"/>
          <w:spacing w:val="8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8"/>
        </w:rPr>
        <w:t>工程总承包招标开评标规则</w:t>
      </w:r>
    </w:p>
    <w:p>
      <w:pPr>
        <w:ind w:left="656"/>
        <w:spacing w:before="265" w:line="227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一、开标程序</w:t>
      </w:r>
    </w:p>
    <w:p>
      <w:pPr>
        <w:ind w:left="643"/>
        <w:spacing w:before="280" w:line="223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</w:rPr>
        <w:t>一）开标时间和地点</w:t>
      </w:r>
    </w:p>
    <w:p>
      <w:pPr>
        <w:pStyle w:val="BodyText"/>
        <w:ind w:left="676"/>
        <w:spacing w:before="286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开标时间：</w:t>
      </w:r>
      <w:r>
        <w:rPr>
          <w:spacing w:val="-82"/>
        </w:rPr>
        <w:t xml:space="preserve"> </w:t>
      </w:r>
      <w:r>
        <w:rPr>
          <w:spacing w:val="1"/>
        </w:rPr>
        <w:t>同投标截止时间。</w:t>
      </w:r>
    </w:p>
    <w:p>
      <w:pPr>
        <w:pStyle w:val="BodyText"/>
        <w:ind w:right="156" w:firstLine="645"/>
        <w:spacing w:before="287" w:line="336" w:lineRule="auto"/>
        <w:rPr/>
      </w:pPr>
      <w:r>
        <w:rPr>
          <w:rFonts w:ascii="Times New Roman" w:hAnsi="Times New Roman" w:eastAsia="Times New Roman" w:cs="Times New Roman"/>
          <w:spacing w:val="-14"/>
        </w:rPr>
        <w:t>2.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4"/>
        </w:rPr>
        <w:t>本</w:t>
      </w:r>
      <w:r>
        <w:rPr>
          <w:spacing w:val="-50"/>
        </w:rPr>
        <w:t xml:space="preserve"> </w:t>
      </w:r>
      <w:r>
        <w:rPr>
          <w:spacing w:val="-14"/>
        </w:rPr>
        <w:t>项</w:t>
      </w:r>
      <w:r>
        <w:rPr>
          <w:spacing w:val="-14"/>
        </w:rPr>
        <w:t xml:space="preserve"> </w:t>
      </w:r>
      <w:r>
        <w:rPr>
          <w:spacing w:val="-14"/>
        </w:rPr>
        <w:t>目</w:t>
      </w:r>
      <w:r>
        <w:rPr>
          <w:spacing w:val="-53"/>
        </w:rPr>
        <w:t xml:space="preserve"> </w:t>
      </w:r>
      <w:r>
        <w:rPr>
          <w:spacing w:val="-14"/>
        </w:rPr>
        <w:t>采</w:t>
      </w:r>
      <w:r>
        <w:rPr>
          <w:spacing w:val="-54"/>
        </w:rPr>
        <w:t xml:space="preserve"> </w:t>
      </w:r>
      <w:r>
        <w:rPr>
          <w:spacing w:val="-14"/>
        </w:rPr>
        <w:t>用</w:t>
      </w:r>
      <w:r>
        <w:rPr>
          <w:spacing w:val="-14"/>
        </w:rPr>
        <w:t xml:space="preserve"> </w:t>
      </w:r>
      <w:r>
        <w:rPr>
          <w:spacing w:val="-14"/>
        </w:rPr>
        <w:t>网</w:t>
      </w:r>
      <w:r>
        <w:rPr>
          <w:spacing w:val="-46"/>
        </w:rPr>
        <w:t xml:space="preserve"> </w:t>
      </w:r>
      <w:r>
        <w:rPr>
          <w:spacing w:val="-14"/>
        </w:rPr>
        <w:t>上</w:t>
      </w:r>
      <w:r>
        <w:rPr>
          <w:spacing w:val="-44"/>
        </w:rPr>
        <w:t xml:space="preserve"> </w:t>
      </w:r>
      <w:r>
        <w:rPr>
          <w:spacing w:val="-14"/>
        </w:rPr>
        <w:t>远</w:t>
      </w:r>
      <w:r>
        <w:rPr>
          <w:spacing w:val="-49"/>
        </w:rPr>
        <w:t xml:space="preserve"> </w:t>
      </w:r>
      <w:r>
        <w:rPr>
          <w:spacing w:val="-14"/>
        </w:rPr>
        <w:t>程</w:t>
      </w:r>
      <w:r>
        <w:rPr>
          <w:spacing w:val="-46"/>
        </w:rPr>
        <w:t xml:space="preserve"> </w:t>
      </w:r>
      <w:r>
        <w:rPr>
          <w:spacing w:val="-14"/>
        </w:rPr>
        <w:t>开</w:t>
      </w:r>
      <w:r>
        <w:rPr>
          <w:spacing w:val="-57"/>
        </w:rPr>
        <w:t xml:space="preserve"> </w:t>
      </w:r>
      <w:r>
        <w:rPr>
          <w:spacing w:val="-14"/>
        </w:rPr>
        <w:t>标</w:t>
      </w:r>
      <w:r>
        <w:rPr>
          <w:spacing w:val="-48"/>
        </w:rPr>
        <w:t xml:space="preserve"> </w:t>
      </w:r>
      <w:r>
        <w:rPr>
          <w:spacing w:val="-14"/>
        </w:rPr>
        <w:t>方</w:t>
      </w:r>
      <w:r>
        <w:rPr>
          <w:spacing w:val="-32"/>
        </w:rPr>
        <w:t xml:space="preserve"> </w:t>
      </w:r>
      <w:r>
        <w:rPr>
          <w:spacing w:val="-14"/>
        </w:rPr>
        <w:t>式</w:t>
      </w:r>
      <w:r>
        <w:rPr>
          <w:spacing w:val="-65"/>
        </w:rPr>
        <w:t xml:space="preserve"> </w:t>
      </w:r>
      <w:r>
        <w:rPr>
          <w:spacing w:val="-14"/>
        </w:rPr>
        <w:t>，</w:t>
      </w:r>
      <w:r>
        <w:rPr>
          <w:spacing w:val="-14"/>
        </w:rPr>
        <w:t xml:space="preserve"> </w:t>
      </w:r>
      <w:r>
        <w:rPr>
          <w:spacing w:val="-14"/>
        </w:rPr>
        <w:t>开</w:t>
      </w:r>
      <w:r>
        <w:rPr>
          <w:spacing w:val="-59"/>
        </w:rPr>
        <w:t xml:space="preserve"> </w:t>
      </w:r>
      <w:r>
        <w:rPr>
          <w:spacing w:val="-14"/>
        </w:rPr>
        <w:t>标</w:t>
      </w:r>
      <w:r>
        <w:rPr>
          <w:spacing w:val="-19"/>
        </w:rPr>
        <w:t xml:space="preserve"> </w:t>
      </w:r>
      <w:r>
        <w:rPr>
          <w:spacing w:val="-14"/>
        </w:rPr>
        <w:t>网</w:t>
      </w:r>
      <w:r>
        <w:rPr>
          <w:spacing w:val="-46"/>
        </w:rPr>
        <w:t xml:space="preserve"> </w:t>
      </w:r>
      <w:r>
        <w:rPr>
          <w:spacing w:val="-14"/>
        </w:rPr>
        <w:t>址</w:t>
      </w:r>
      <w:r>
        <w:rPr>
          <w:spacing w:val="-46"/>
        </w:rPr>
        <w:t xml:space="preserve"> </w:t>
      </w:r>
      <w:r>
        <w:rPr>
          <w:spacing w:val="-14"/>
        </w:rPr>
        <w:t>为</w:t>
      </w:r>
      <w:hyperlink w:history="true" r:id="rId2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14"/>
          </w:rPr>
          <w:t>://</w:t>
        </w:r>
        <w:r>
          <w:rPr>
            <w:rFonts w:ascii="Times New Roman" w:hAnsi="Times New Roman" w:eastAsia="Times New Roman" w:cs="Times New Roman"/>
          </w:rPr>
          <w:t>ztb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zj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gov</w:t>
        </w:r>
        <w:r>
          <w:rPr>
            <w:rFonts w:ascii="Times New Roman" w:hAnsi="Times New Roman" w:eastAsia="Times New Roman" w:cs="Times New Roman"/>
            <w:spacing w:val="14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  <w:r>
          <w:rPr>
            <w:rFonts w:ascii="Times New Roman" w:hAnsi="Times New Roman" w:eastAsia="Times New Roman" w:cs="Times New Roman"/>
            <w:spacing w:val="14"/>
          </w:rPr>
          <w:t>/</w:t>
        </w:r>
        <w:r>
          <w:rPr>
            <w:rFonts w:ascii="Times New Roman" w:hAnsi="Times New Roman" w:eastAsia="Times New Roman" w:cs="Times New Roman"/>
          </w:rPr>
          <w:t>open</w:t>
        </w:r>
        <w:r>
          <w:rPr>
            <w:rFonts w:ascii="Times New Roman" w:hAnsi="Times New Roman" w:eastAsia="Times New Roman" w:cs="Times New Roman"/>
            <w:spacing w:val="14"/>
          </w:rPr>
          <w:t>-</w:t>
        </w:r>
        <w:r>
          <w:rPr>
            <w:rFonts w:ascii="Times New Roman" w:hAnsi="Times New Roman" w:eastAsia="Times New Roman" w:cs="Times New Roman"/>
          </w:rPr>
          <w:t>bid</w:t>
        </w:r>
      </w:hyperlink>
      <w:r>
        <w:rPr>
          <w:spacing w:val="14"/>
        </w:rPr>
        <w:t>，开标地点为项目所在地公共</w:t>
      </w:r>
      <w:r>
        <w:rPr>
          <w:spacing w:val="13"/>
        </w:rPr>
        <w:t>资源</w:t>
      </w:r>
      <w:r>
        <w:rPr>
          <w:spacing w:val="7"/>
        </w:rPr>
        <w:t>交易中心。</w:t>
      </w:r>
    </w:p>
    <w:p>
      <w:pPr>
        <w:pStyle w:val="BodyText"/>
        <w:ind w:left="651"/>
        <w:spacing w:before="287" w:line="222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参加开标会议的要求</w:t>
      </w:r>
    </w:p>
    <w:p>
      <w:pPr>
        <w:pStyle w:val="BodyText"/>
        <w:ind w:left="10" w:firstLine="644"/>
        <w:spacing w:before="287" w:line="393" w:lineRule="auto"/>
        <w:jc w:val="both"/>
        <w:rPr/>
      </w:pPr>
      <w:r>
        <w:rPr>
          <w:spacing w:val="9"/>
        </w:rPr>
        <w:t>投标人应在投标截止时间之前使用数字证书（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锁）</w:t>
      </w:r>
      <w:r>
        <w:rPr>
          <w:spacing w:val="-52"/>
        </w:rPr>
        <w:t xml:space="preserve"> </w:t>
      </w:r>
      <w:r>
        <w:rPr>
          <w:spacing w:val="9"/>
        </w:rPr>
        <w:t>自</w:t>
      </w:r>
      <w:r>
        <w:rPr>
          <w:spacing w:val="8"/>
        </w:rPr>
        <w:t>行登录不见面开标大厅，在线等待开标，并在开标期间保持通</w:t>
      </w:r>
      <w:r>
        <w:rPr>
          <w:spacing w:val="-1"/>
        </w:rPr>
        <w:t>讯畅通。请各投标人使用（</w:t>
      </w:r>
      <w:r>
        <w:rPr>
          <w:spacing w:val="-49"/>
        </w:rPr>
        <w:t xml:space="preserve"> </w:t>
      </w:r>
      <w:r>
        <w:rPr>
          <w:spacing w:val="-1"/>
        </w:rPr>
        <w:t>以统一交易平台最终确定的浏览器）</w:t>
      </w:r>
      <w:r>
        <w:rPr>
          <w:spacing w:val="8"/>
        </w:rPr>
        <w:t>访问浙江省招标投标电子交易平台不见面开标大厅（名称以统</w:t>
      </w:r>
      <w:r>
        <w:rPr>
          <w:spacing w:val="13"/>
        </w:rPr>
        <w:t>一交易平台最终确定的为准</w:t>
      </w:r>
      <w:r>
        <w:rPr>
          <w:spacing w:val="-47"/>
        </w:rPr>
        <w:t>），</w:t>
      </w:r>
      <w:r>
        <w:rPr>
          <w:spacing w:val="13"/>
        </w:rPr>
        <w:t>完成远程开标。投标人可全程</w:t>
      </w:r>
      <w:r>
        <w:rPr>
          <w:spacing w:val="8"/>
        </w:rPr>
        <w:t>在线观看开标过程，除本次招标明确投标人需前往现场递交纸</w:t>
      </w:r>
      <w:r>
        <w:rPr>
          <w:spacing w:val="8"/>
        </w:rPr>
        <w:t>质投标文件、光盘、样品等材料的情况外，本项目无需到现场</w:t>
      </w:r>
      <w:r>
        <w:rPr>
          <w:spacing w:val="1"/>
        </w:rPr>
        <w:t>开标。</w:t>
      </w:r>
    </w:p>
    <w:p>
      <w:pPr>
        <w:pStyle w:val="BodyText"/>
        <w:ind w:left="21" w:right="156" w:firstLine="622"/>
        <w:spacing w:before="4" w:line="392" w:lineRule="auto"/>
        <w:jc w:val="both"/>
        <w:rPr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开标期间，各交易主体使用数字证书（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7"/>
        </w:rPr>
        <w:t>锁）在各自的</w:t>
      </w:r>
      <w:r>
        <w:rPr>
          <w:spacing w:val="8"/>
        </w:rPr>
        <w:t>电脑、移动终端上的所有操作、音视频及文字交互均被视为各</w:t>
      </w:r>
      <w:r>
        <w:rPr>
          <w:spacing w:val="8"/>
        </w:rPr>
        <w:t>交易主体的行为，并各自承担相应的法律责任。</w:t>
      </w:r>
    </w:p>
    <w:p>
      <w:pPr>
        <w:ind w:left="643"/>
        <w:spacing w:before="1" w:line="222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3"/>
        </w:rPr>
        <w:t>二）开标程序</w:t>
      </w:r>
    </w:p>
    <w:p>
      <w:pPr>
        <w:spacing w:line="222" w:lineRule="auto"/>
        <w:sectPr>
          <w:footerReference w:type="default" r:id="rId27"/>
          <w:pgSz w:w="11906" w:h="16839"/>
          <w:pgMar w:top="1431" w:right="1489" w:bottom="1157" w:left="1645" w:header="0" w:footer="992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right="2" w:firstLine="670"/>
        <w:spacing w:before="101" w:line="308" w:lineRule="auto"/>
        <w:rPr/>
      </w:pPr>
      <w:r>
        <w:rPr>
          <w:rFonts w:ascii="Times New Roman" w:hAnsi="Times New Roman" w:eastAsia="Times New Roman" w:cs="Times New Roman"/>
          <w:spacing w:val="16"/>
        </w:rPr>
        <w:t>1.</w:t>
      </w:r>
      <w:r>
        <w:rPr>
          <w:spacing w:val="16"/>
        </w:rPr>
        <w:t>投标人参加开标须准备生成投标文件的数字证书（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8"/>
        </w:rPr>
        <w:t>锁）以供开标时解密投标文件。</w:t>
      </w:r>
    </w:p>
    <w:p>
      <w:pPr>
        <w:pStyle w:val="BodyText"/>
        <w:ind w:left="640"/>
        <w:spacing w:before="286" w:line="221" w:lineRule="auto"/>
        <w:rPr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6"/>
        </w:rPr>
        <w:t>由招标人代表（包括招标代理机构，下同）进行开标。</w:t>
      </w:r>
    </w:p>
    <w:p>
      <w:pPr>
        <w:pStyle w:val="BodyText"/>
        <w:ind w:left="646"/>
        <w:spacing w:before="288" w:line="222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开标时，如发现以下情况之一的，相应投标文件拒收：</w:t>
      </w:r>
    </w:p>
    <w:p>
      <w:pPr>
        <w:pStyle w:val="BodyText"/>
        <w:ind w:left="637"/>
        <w:spacing w:before="288" w:line="222" w:lineRule="auto"/>
        <w:rPr/>
      </w:pPr>
      <w:r>
        <w:rPr>
          <w:spacing w:val="1"/>
        </w:rPr>
        <w:t>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）投标人未按规定加密的投标文件。</w:t>
      </w:r>
    </w:p>
    <w:p>
      <w:pPr>
        <w:pStyle w:val="BodyText"/>
        <w:ind w:left="637"/>
        <w:spacing w:before="285" w:line="220" w:lineRule="auto"/>
        <w:rPr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）未在投标截止时间前完成上传的投标文件。</w:t>
      </w:r>
    </w:p>
    <w:p>
      <w:pPr>
        <w:pStyle w:val="BodyText"/>
        <w:ind w:left="3" w:firstLine="634"/>
        <w:spacing w:before="290" w:line="308" w:lineRule="auto"/>
        <w:rPr/>
      </w:pP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）未通过资格预审的申请人提交的投标文件。（</w:t>
      </w:r>
      <w:r>
        <w:rPr/>
        <w:t>采用资</w:t>
      </w:r>
      <w:r>
        <w:rPr>
          <w:spacing w:val="8"/>
        </w:rPr>
        <w:t>格预审方式招标的）</w:t>
      </w:r>
    </w:p>
    <w:p>
      <w:pPr>
        <w:pStyle w:val="BodyText"/>
        <w:ind w:left="44" w:right="2" w:firstLine="592"/>
        <w:spacing w:before="285" w:line="307" w:lineRule="auto"/>
        <w:rPr/>
      </w:pPr>
      <w:r>
        <w:rPr>
          <w:spacing w:val="15"/>
        </w:rPr>
        <w:t>（</w:t>
      </w:r>
      <w:r>
        <w:rPr>
          <w:rFonts w:ascii="Times New Roman" w:hAnsi="Times New Roman" w:eastAsia="Times New Roman" w:cs="Times New Roman"/>
          <w:spacing w:val="15"/>
        </w:rPr>
        <w:t>4</w:t>
      </w:r>
      <w:r>
        <w:rPr>
          <w:spacing w:val="15"/>
        </w:rPr>
        <w:t>）未在投标截止时间前递交纸质投标文件、光盘、样</w:t>
      </w:r>
      <w:r>
        <w:rPr>
          <w:spacing w:val="-12"/>
        </w:rPr>
        <w:t>品等材料的。（若有）</w:t>
      </w:r>
    </w:p>
    <w:p>
      <w:pPr>
        <w:pStyle w:val="BodyText"/>
        <w:ind w:left="637"/>
        <w:spacing w:before="291" w:line="221" w:lineRule="auto"/>
        <w:rPr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5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>）投标文件不符合招标文件规定的其他接收要求的。</w:t>
      </w:r>
    </w:p>
    <w:p>
      <w:pPr>
        <w:pStyle w:val="BodyText"/>
        <w:ind w:left="638"/>
        <w:spacing w:before="289" w:line="222" w:lineRule="auto"/>
        <w:rPr/>
      </w:pPr>
      <w:r>
        <w:rPr>
          <w:rFonts w:ascii="Times New Roman" w:hAnsi="Times New Roman" w:eastAsia="Times New Roman" w:cs="Times New Roman"/>
          <w:spacing w:val="1"/>
        </w:rPr>
        <w:t>4.</w:t>
      </w:r>
      <w:r>
        <w:rPr>
          <w:spacing w:val="1"/>
        </w:rPr>
        <w:t>开标程序（</w:t>
      </w:r>
      <w:r>
        <w:rPr>
          <w:spacing w:val="-72"/>
        </w:rPr>
        <w:t xml:space="preserve"> </w:t>
      </w:r>
      <w:r>
        <w:rPr>
          <w:spacing w:val="1"/>
        </w:rPr>
        <w:t>一次开标）</w:t>
      </w:r>
    </w:p>
    <w:p>
      <w:pPr>
        <w:pStyle w:val="BodyText"/>
        <w:ind w:left="637"/>
        <w:spacing w:before="287" w:line="220" w:lineRule="auto"/>
        <w:rPr/>
      </w:pPr>
      <w:r>
        <w:rPr>
          <w:spacing w:val="-10"/>
        </w:rPr>
        <w:t>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0"/>
        </w:rPr>
        <w:t>）宣布开始</w:t>
      </w:r>
    </w:p>
    <w:p>
      <w:pPr>
        <w:pStyle w:val="BodyText"/>
        <w:ind w:left="2" w:firstLine="663"/>
        <w:spacing w:before="291" w:line="393" w:lineRule="auto"/>
        <w:rPr/>
      </w:pPr>
      <w:r>
        <w:rPr>
          <w:spacing w:val="7"/>
        </w:rPr>
        <w:t>至投标截止时间，招标人宣布开始开标，宣布开标项目名</w:t>
      </w:r>
      <w:r>
        <w:rPr>
          <w:spacing w:val="4"/>
        </w:rPr>
        <w:t>称、招标人代表姓名（</w:t>
      </w:r>
      <w:r>
        <w:rPr>
          <w:spacing w:val="-29"/>
        </w:rPr>
        <w:t xml:space="preserve"> </w:t>
      </w:r>
      <w:r>
        <w:rPr>
          <w:spacing w:val="4"/>
        </w:rPr>
        <w:t>自行决定是否公布）、交易中心见证代</w:t>
      </w:r>
      <w:r>
        <w:rPr/>
        <w:t>表（</w:t>
      </w:r>
      <w:r>
        <w:rPr>
          <w:spacing w:val="-34"/>
        </w:rPr>
        <w:t xml:space="preserve"> </w:t>
      </w:r>
      <w:r>
        <w:rPr/>
        <w:t>自行决定是否公布）、监标人（</w:t>
      </w:r>
      <w:r>
        <w:rPr>
          <w:spacing w:val="-34"/>
        </w:rPr>
        <w:t xml:space="preserve"> </w:t>
      </w:r>
      <w:r>
        <w:rPr/>
        <w:t>自行决定是否</w:t>
      </w:r>
      <w:r>
        <w:rPr>
          <w:spacing w:val="-1"/>
        </w:rPr>
        <w:t>公布）等有</w:t>
      </w:r>
      <w:r>
        <w:rPr>
          <w:spacing w:val="6"/>
        </w:rPr>
        <w:t>关现场信息。</w:t>
      </w:r>
    </w:p>
    <w:p>
      <w:pPr>
        <w:pStyle w:val="BodyText"/>
        <w:ind w:left="637"/>
        <w:spacing w:line="220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）公布投标人数量</w:t>
      </w:r>
    </w:p>
    <w:p>
      <w:pPr>
        <w:pStyle w:val="BodyText"/>
        <w:ind w:left="20" w:right="2" w:firstLine="630"/>
        <w:spacing w:before="290" w:line="393" w:lineRule="auto"/>
        <w:rPr/>
      </w:pPr>
      <w:r>
        <w:rPr>
          <w:spacing w:val="8"/>
        </w:rPr>
        <w:t>招标人公布投标人数量及投标保证金缴纳情况。若开标系</w:t>
      </w:r>
      <w:r>
        <w:rPr>
          <w:spacing w:val="6"/>
        </w:rPr>
        <w:t>统显示已递交投标文件的单位数量少于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6"/>
        </w:rPr>
        <w:t>家，招标人公布已递</w:t>
      </w:r>
    </w:p>
    <w:p>
      <w:pPr>
        <w:spacing w:line="393" w:lineRule="auto"/>
        <w:sectPr>
          <w:footerReference w:type="default" r:id="rId28"/>
          <w:pgSz w:w="11906" w:h="16839"/>
          <w:pgMar w:top="1431" w:right="1643" w:bottom="1157" w:left="1651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01" w:line="220" w:lineRule="auto"/>
        <w:rPr/>
      </w:pPr>
      <w:r>
        <w:rPr>
          <w:spacing w:val="5"/>
        </w:rPr>
        <w:t>交投标文件单位名称，</w:t>
      </w:r>
      <w:r>
        <w:rPr>
          <w:spacing w:val="-72"/>
        </w:rPr>
        <w:t xml:space="preserve"> </w:t>
      </w:r>
      <w:r>
        <w:rPr>
          <w:spacing w:val="5"/>
        </w:rPr>
        <w:t>当场宣布招标失败，结束开标。</w:t>
      </w:r>
    </w:p>
    <w:p>
      <w:pPr>
        <w:pStyle w:val="BodyText"/>
        <w:ind w:left="632"/>
        <w:spacing w:before="290" w:line="222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3"/>
        </w:rPr>
        <w:t>）投标人解密</w:t>
      </w:r>
    </w:p>
    <w:p>
      <w:pPr>
        <w:pStyle w:val="BodyText"/>
        <w:ind w:left="644"/>
        <w:spacing w:before="286" w:line="222" w:lineRule="auto"/>
        <w:rPr/>
      </w:pPr>
      <w:r>
        <w:rPr>
          <w:spacing w:val="7"/>
        </w:rPr>
        <w:t>投标人数量大于等于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家，进入投标人解密</w:t>
      </w:r>
      <w:r>
        <w:rPr>
          <w:spacing w:val="6"/>
        </w:rPr>
        <w:t>环节。</w:t>
      </w:r>
    </w:p>
    <w:p>
      <w:pPr>
        <w:pStyle w:val="BodyText"/>
        <w:ind w:left="24" w:right="91" w:firstLine="619"/>
        <w:spacing w:before="287" w:line="393" w:lineRule="auto"/>
        <w:rPr/>
      </w:pPr>
      <w:r>
        <w:rPr>
          <w:spacing w:val="2"/>
        </w:rPr>
        <w:t>投标人解密时间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30  </w:t>
      </w:r>
      <w:r>
        <w:rPr>
          <w:spacing w:val="2"/>
        </w:rPr>
        <w:t>分钟或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60 </w:t>
      </w:r>
      <w:r>
        <w:rPr>
          <w:spacing w:val="2"/>
        </w:rPr>
        <w:t>分钟或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120 </w:t>
      </w:r>
      <w:r>
        <w:rPr>
          <w:spacing w:val="1"/>
        </w:rPr>
        <w:t>分钟。投标人解</w:t>
      </w:r>
      <w:r>
        <w:rPr>
          <w:spacing w:val="-2"/>
        </w:rPr>
        <w:t>密方式：</w:t>
      </w:r>
    </w:p>
    <w:p>
      <w:pPr>
        <w:pStyle w:val="BodyText"/>
        <w:ind w:right="91" w:firstLine="644"/>
        <w:spacing w:before="3" w:line="392" w:lineRule="auto"/>
        <w:jc w:val="both"/>
        <w:rPr/>
      </w:pPr>
      <w:r>
        <w:rPr>
          <w:spacing w:val="21"/>
        </w:rPr>
        <w:t>投标人使用统一交易平台最终确定的浏览器自行登录交</w:t>
      </w:r>
      <w:r>
        <w:rPr>
          <w:spacing w:val="8"/>
        </w:rPr>
        <w:t>易平台不见面开标大厅。待招标人点击解密指令后，投标人使</w:t>
      </w:r>
      <w:r>
        <w:rPr>
          <w:spacing w:val="9"/>
        </w:rPr>
        <w:t>用生成投标文件确保有效的数字证书（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锁）在线解密。</w:t>
      </w:r>
    </w:p>
    <w:p>
      <w:pPr>
        <w:pStyle w:val="BodyText"/>
        <w:spacing w:before="2" w:line="220" w:lineRule="auto"/>
        <w:jc w:val="right"/>
        <w:rPr/>
      </w:pPr>
      <w:r>
        <w:rPr>
          <w:spacing w:val="-1"/>
        </w:rPr>
        <w:t>若成功解密的投标人少于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 </w:t>
      </w:r>
      <w:r>
        <w:rPr>
          <w:spacing w:val="-1"/>
        </w:rPr>
        <w:t>家，招标人宣布本次招标失败。</w:t>
      </w:r>
    </w:p>
    <w:p>
      <w:pPr>
        <w:pStyle w:val="BodyText"/>
        <w:ind w:left="632"/>
        <w:spacing w:before="291" w:line="222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）招标人解密</w:t>
      </w:r>
    </w:p>
    <w:p>
      <w:pPr>
        <w:pStyle w:val="BodyText"/>
        <w:ind w:left="3" w:right="7" w:firstLine="635"/>
        <w:spacing w:before="287" w:line="393" w:lineRule="auto"/>
        <w:rPr/>
      </w:pPr>
      <w:r>
        <w:rPr>
          <w:spacing w:val="-3"/>
        </w:rPr>
        <w:t>全部投标人解密完成后或投标人解密时间（</w:t>
      </w:r>
      <w:r>
        <w:rPr>
          <w:rFonts w:ascii="Times New Roman" w:hAnsi="Times New Roman" w:eastAsia="Times New Roman" w:cs="Times New Roman"/>
          <w:spacing w:val="-3"/>
        </w:rPr>
        <w:t>30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-4"/>
        </w:rPr>
        <w:t>分钟）结束，</w:t>
      </w:r>
      <w:r>
        <w:rPr>
          <w:spacing w:val="13"/>
        </w:rPr>
        <w:t>招标人使用生成招标文件确保有效的数字证书（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13"/>
        </w:rPr>
        <w:t>锁）解密</w:t>
      </w:r>
      <w:r>
        <w:rPr>
          <w:spacing w:val="4"/>
        </w:rPr>
        <w:t>投标文件。</w:t>
      </w:r>
    </w:p>
    <w:p>
      <w:pPr>
        <w:pStyle w:val="BodyText"/>
        <w:ind w:left="632"/>
        <w:spacing w:line="221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8"/>
        </w:rPr>
        <w:t>）抽取系数、参数、清单等（若有）</w:t>
      </w:r>
    </w:p>
    <w:p>
      <w:pPr>
        <w:pStyle w:val="BodyText"/>
        <w:ind w:left="632"/>
        <w:spacing w:before="290" w:line="222" w:lineRule="auto"/>
        <w:rPr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spacing w:val="11"/>
        </w:rPr>
        <w:t>）确定评审区间（若有）</w:t>
      </w:r>
    </w:p>
    <w:p>
      <w:pPr>
        <w:pStyle w:val="BodyText"/>
        <w:ind w:left="632"/>
        <w:spacing w:before="287" w:line="220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spacing w:val="8"/>
        </w:rPr>
        <w:t>）公布开标结果</w:t>
      </w:r>
    </w:p>
    <w:p>
      <w:pPr>
        <w:pStyle w:val="BodyText"/>
        <w:ind w:left="2" w:right="91" w:firstLine="643"/>
        <w:spacing w:before="290" w:line="393" w:lineRule="auto"/>
        <w:rPr/>
      </w:pPr>
      <w:r>
        <w:rPr>
          <w:spacing w:val="8"/>
        </w:rPr>
        <w:t>招标人解密完成后，开标系统公布投标人名称、项目负责</w:t>
      </w:r>
      <w:r>
        <w:rPr>
          <w:spacing w:val="8"/>
        </w:rPr>
        <w:t>人、投标报价、工期、质量目标等内容。</w:t>
      </w:r>
    </w:p>
    <w:p>
      <w:pPr>
        <w:pStyle w:val="BodyText"/>
        <w:ind w:left="632"/>
        <w:spacing w:before="1" w:line="222" w:lineRule="auto"/>
        <w:rPr/>
      </w:pPr>
      <w:r>
        <w:rPr>
          <w:spacing w:val="-5"/>
        </w:rPr>
        <w:t>（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）异议及回复</w:t>
      </w:r>
    </w:p>
    <w:p>
      <w:pPr>
        <w:pStyle w:val="BodyText"/>
        <w:ind w:right="50"/>
        <w:spacing w:before="285" w:line="220" w:lineRule="auto"/>
        <w:jc w:val="right"/>
        <w:rPr/>
      </w:pPr>
      <w:r>
        <w:rPr>
          <w:spacing w:val="10"/>
        </w:rPr>
        <w:t>若投标人对开标有异议，应在开标过程（开标结束前）中</w:t>
      </w:r>
    </w:p>
    <w:p>
      <w:pPr>
        <w:spacing w:line="220" w:lineRule="auto"/>
        <w:sectPr>
          <w:footerReference w:type="default" r:id="rId29"/>
          <w:pgSz w:w="11906" w:h="16839"/>
          <w:pgMar w:top="1431" w:right="1554" w:bottom="1157" w:left="1656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01" w:line="393" w:lineRule="auto"/>
        <w:jc w:val="both"/>
        <w:rPr/>
      </w:pPr>
      <w:r>
        <w:rPr>
          <w:spacing w:val="9"/>
        </w:rPr>
        <w:t>通过不见面开标大厅的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我有异议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按钮进行现场异议，招标人</w:t>
      </w:r>
      <w:r>
        <w:rPr>
          <w:spacing w:val="8"/>
        </w:rPr>
        <w:t>通过不见面开标大厅当场在线文字答复。异议及异议答复内容</w:t>
      </w:r>
      <w:r>
        <w:rPr>
          <w:spacing w:val="7"/>
        </w:rPr>
        <w:t>应面向所有投标人公开。</w:t>
      </w:r>
    </w:p>
    <w:p>
      <w:pPr>
        <w:pStyle w:val="BodyText"/>
        <w:ind w:left="637"/>
        <w:spacing w:line="222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9</w:t>
      </w:r>
      <w:r>
        <w:rPr>
          <w:spacing w:val="8"/>
        </w:rPr>
        <w:t>）投标人确认</w:t>
      </w:r>
    </w:p>
    <w:p>
      <w:pPr>
        <w:pStyle w:val="BodyText"/>
        <w:ind w:left="5" w:firstLine="650"/>
        <w:spacing w:before="285" w:line="393" w:lineRule="auto"/>
        <w:rPr/>
      </w:pPr>
      <w:r>
        <w:rPr>
          <w:spacing w:val="7"/>
        </w:rPr>
        <w:t>开标结果当场公布后，投标人应在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 </w:t>
      </w:r>
      <w:r>
        <w:rPr>
          <w:spacing w:val="7"/>
        </w:rPr>
        <w:t>分钟内对开标结果进</w:t>
      </w:r>
      <w:r>
        <w:rPr>
          <w:spacing w:val="9"/>
        </w:rPr>
        <w:t>行确认，未在规定时间内完成在线确认的视为自动确认。</w:t>
      </w:r>
    </w:p>
    <w:p>
      <w:pPr>
        <w:pStyle w:val="BodyText"/>
        <w:ind w:left="637"/>
        <w:spacing w:before="2" w:line="220" w:lineRule="auto"/>
        <w:rPr/>
      </w:pPr>
      <w:r>
        <w:rPr>
          <w:spacing w:val="-3"/>
        </w:rPr>
        <w:t>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）开标结束</w:t>
      </w:r>
    </w:p>
    <w:p>
      <w:pPr>
        <w:pStyle w:val="BodyText"/>
        <w:ind w:left="14" w:right="2" w:firstLine="629"/>
        <w:spacing w:before="289" w:line="393" w:lineRule="auto"/>
        <w:rPr/>
      </w:pPr>
      <w:r>
        <w:rPr>
          <w:spacing w:val="11"/>
        </w:rPr>
        <w:t>全部投标人完成在线确认或</w:t>
      </w:r>
      <w:r>
        <w:rPr>
          <w:rFonts w:ascii="Times New Roman" w:hAnsi="Times New Roman" w:eastAsia="Times New Roman" w:cs="Times New Roman"/>
          <w:spacing w:val="11"/>
        </w:rPr>
        <w:t>5 </w:t>
      </w:r>
      <w:r>
        <w:rPr>
          <w:spacing w:val="11"/>
        </w:rPr>
        <w:t>分钟过后，招标人宣布本次</w:t>
      </w:r>
      <w:r>
        <w:rPr>
          <w:spacing w:val="3"/>
        </w:rPr>
        <w:t>开标结束。</w:t>
      </w:r>
    </w:p>
    <w:p>
      <w:pPr>
        <w:pStyle w:val="BodyText"/>
        <w:ind w:left="2" w:right="2" w:firstLine="641"/>
        <w:spacing w:before="2" w:line="392" w:lineRule="auto"/>
        <w:rPr/>
      </w:pPr>
      <w:r>
        <w:rPr>
          <w:spacing w:val="22"/>
        </w:rPr>
        <w:t>开标时抽取产生的结果以及现场录入的备注</w:t>
      </w:r>
      <w:r>
        <w:rPr>
          <w:spacing w:val="21"/>
        </w:rPr>
        <w:t>说明均与开</w:t>
      </w:r>
      <w:r>
        <w:rPr>
          <w:spacing w:val="9"/>
        </w:rPr>
        <w:t>标记录一起在浙江省公共资源交易服务平台予以公布。</w:t>
      </w:r>
    </w:p>
    <w:p>
      <w:pPr>
        <w:pStyle w:val="BodyText"/>
        <w:ind w:left="648"/>
        <w:spacing w:before="2" w:line="222" w:lineRule="auto"/>
        <w:rPr/>
      </w:pPr>
      <w:r>
        <w:rPr>
          <w:rFonts w:ascii="Times New Roman" w:hAnsi="Times New Roman" w:eastAsia="Times New Roman" w:cs="Times New Roman"/>
          <w:spacing w:val="6"/>
        </w:rPr>
        <w:t>5.</w:t>
      </w:r>
      <w:r>
        <w:rPr>
          <w:spacing w:val="6"/>
        </w:rPr>
        <w:t>开标特别说明</w:t>
      </w:r>
    </w:p>
    <w:p>
      <w:pPr>
        <w:pStyle w:val="BodyText"/>
        <w:ind w:left="637"/>
        <w:spacing w:before="287" w:line="222" w:lineRule="auto"/>
        <w:rPr/>
      </w:pPr>
      <w:r>
        <w:rPr>
          <w:spacing w:val="3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）开标解密使用投标人上传的电子投标文件。</w:t>
      </w:r>
    </w:p>
    <w:p>
      <w:pPr>
        <w:pStyle w:val="BodyText"/>
        <w:ind w:left="8" w:right="2" w:firstLine="629"/>
        <w:spacing w:before="288" w:line="336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）因投标人原因造成其电子投标文件未解密的，视为</w:t>
      </w:r>
      <w:r>
        <w:rPr>
          <w:spacing w:val="8"/>
        </w:rPr>
        <w:t>撤销其投标文件；因投标人之外的原因造成电子投标文件未解</w:t>
      </w:r>
      <w:r>
        <w:rPr>
          <w:spacing w:val="7"/>
        </w:rPr>
        <w:t>密的，视为撤回其投标文件。</w:t>
      </w:r>
    </w:p>
    <w:p>
      <w:pPr>
        <w:pStyle w:val="BodyText"/>
        <w:ind w:left="18" w:right="2" w:firstLine="619"/>
        <w:spacing w:before="286" w:line="307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）部分投标人的电子投标文件无法解密的，其他投标</w:t>
      </w:r>
      <w:r>
        <w:rPr>
          <w:spacing w:val="6"/>
        </w:rPr>
        <w:t>文件的开标可以继续进行。</w:t>
      </w:r>
    </w:p>
    <w:p>
      <w:pPr>
        <w:pStyle w:val="BodyText"/>
        <w:ind w:right="14" w:firstLine="637"/>
        <w:spacing w:before="288" w:line="308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spacing w:val="10"/>
        </w:rPr>
        <w:t>）投标人必须使用生成电子投标文件的数字证书（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8"/>
        </w:rPr>
        <w:t>锁）解密电子投标文件。</w:t>
      </w:r>
    </w:p>
    <w:p>
      <w:pPr>
        <w:spacing w:line="308" w:lineRule="auto"/>
        <w:sectPr>
          <w:footerReference w:type="default" r:id="rId30"/>
          <w:pgSz w:w="11906" w:h="16839"/>
          <w:pgMar w:top="1431" w:right="1643" w:bottom="1157" w:left="1651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730"/>
        <w:spacing w:before="101" w:line="222" w:lineRule="auto"/>
        <w:rPr/>
      </w:pPr>
      <w:r>
        <w:rPr>
          <w:spacing w:val="3"/>
        </w:rPr>
        <w:t>6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spacing w:val="3"/>
        </w:rPr>
        <w:t>不见面开标软硬件要求</w:t>
      </w:r>
    </w:p>
    <w:p>
      <w:pPr>
        <w:pStyle w:val="BodyText"/>
        <w:ind w:left="1" w:right="83" w:firstLine="648"/>
        <w:spacing w:before="286" w:line="393" w:lineRule="auto"/>
        <w:rPr/>
      </w:pPr>
      <w:r>
        <w:rPr>
          <w:spacing w:val="21"/>
        </w:rPr>
        <w:t>投标人电脑或移动终端的硬件设备和软件系统配置必须</w:t>
      </w:r>
      <w:r>
        <w:rPr>
          <w:spacing w:val="9"/>
        </w:rPr>
        <w:t>符合不见面开标技术要求并运行正常，否则投</w:t>
      </w:r>
      <w:r>
        <w:rPr>
          <w:spacing w:val="8"/>
        </w:rPr>
        <w:t>标人自行承担不</w:t>
      </w:r>
      <w:r>
        <w:rPr>
          <w:spacing w:val="5"/>
        </w:rPr>
        <w:t>利后果。</w:t>
      </w:r>
    </w:p>
    <w:p>
      <w:pPr>
        <w:pStyle w:val="BodyText"/>
        <w:ind w:left="42" w:right="83" w:firstLine="595"/>
        <w:spacing w:before="1" w:line="306" w:lineRule="auto"/>
        <w:rPr/>
      </w:pPr>
      <w:r>
        <w:rPr>
          <w:spacing w:val="9"/>
        </w:rPr>
        <w:t>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9"/>
        </w:rPr>
        <w:t>）建议电脑配置：系统</w:t>
      </w:r>
      <w:r>
        <w:rPr>
          <w:rFonts w:ascii="Times New Roman" w:hAnsi="Times New Roman" w:eastAsia="Times New Roman" w:cs="Times New Roman"/>
        </w:rPr>
        <w:t>windows</w:t>
      </w:r>
      <w:r>
        <w:rPr>
          <w:rFonts w:ascii="Times New Roman" w:hAnsi="Times New Roman" w:eastAsia="Times New Roman" w:cs="Times New Roman"/>
          <w:spacing w:val="9"/>
        </w:rPr>
        <w:t>7</w:t>
      </w:r>
      <w:r>
        <w:rPr>
          <w:spacing w:val="9"/>
        </w:rPr>
        <w:t>及以上</w:t>
      </w:r>
      <w:r>
        <w:rPr>
          <w:rFonts w:ascii="Times New Roman" w:hAnsi="Times New Roman" w:eastAsia="Times New Roman" w:cs="Times New Roman"/>
          <w:spacing w:val="9"/>
        </w:rPr>
        <w:t>64</w:t>
      </w:r>
      <w:r>
        <w:rPr>
          <w:spacing w:val="9"/>
        </w:rPr>
        <w:t>位操作系统</w:t>
      </w:r>
      <w:r>
        <w:rPr>
          <w:spacing w:val="3"/>
        </w:rPr>
        <w:t>电脑内存</w:t>
      </w:r>
      <w:r>
        <w:rPr>
          <w:rFonts w:ascii="Times New Roman" w:hAnsi="Times New Roman" w:eastAsia="Times New Roman" w:cs="Times New Roman"/>
          <w:spacing w:val="3"/>
        </w:rPr>
        <w:t>4G</w:t>
      </w:r>
      <w:r>
        <w:rPr>
          <w:spacing w:val="3"/>
        </w:rPr>
        <w:t>及以上；</w:t>
      </w:r>
    </w:p>
    <w:p>
      <w:pPr>
        <w:pStyle w:val="BodyText"/>
        <w:ind w:left="29" w:right="84" w:firstLine="607"/>
        <w:spacing w:before="290" w:line="308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）网络环境：应在稳定良好的网络环境，保障在线解</w:t>
      </w:r>
      <w:r>
        <w:rPr>
          <w:spacing w:val="5"/>
        </w:rPr>
        <w:t>密及远程开标过程流畅；</w:t>
      </w:r>
    </w:p>
    <w:p>
      <w:pPr>
        <w:pStyle w:val="BodyText"/>
        <w:ind w:left="637"/>
        <w:spacing w:before="286" w:line="220" w:lineRule="auto"/>
        <w:rPr/>
      </w:pP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）工具：应安装最新版本</w:t>
      </w:r>
      <w:r>
        <w:rPr>
          <w:rFonts w:ascii="Times New Roman" w:hAnsi="Times New Roman" w:eastAsia="Times New Roman" w:cs="Times New Roman"/>
        </w:rPr>
        <w:t>CA</w:t>
      </w:r>
      <w:r>
        <w:rPr>
          <w:spacing w:val="3"/>
        </w:rPr>
        <w:t>互认客户端，请前往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浙江</w:t>
      </w:r>
    </w:p>
    <w:p>
      <w:pPr>
        <w:pStyle w:val="BodyText"/>
        <w:ind w:left="14"/>
        <w:spacing w:before="290" w:line="221" w:lineRule="auto"/>
        <w:rPr/>
      </w:pPr>
      <w:r>
        <w:rPr>
          <w:spacing w:val="8"/>
        </w:rPr>
        <w:t>省统一招投标交易平台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工具下载页面进行下载安装；</w:t>
      </w:r>
    </w:p>
    <w:p>
      <w:pPr>
        <w:pStyle w:val="BodyText"/>
        <w:ind w:right="82" w:firstLine="637"/>
        <w:spacing w:before="187" w:line="362" w:lineRule="auto"/>
        <w:rPr/>
      </w:pP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）浏览器：建议使用</w:t>
      </w:r>
      <w:r>
        <w:rPr>
          <w:rFonts w:ascii="Times New Roman" w:hAnsi="Times New Roman" w:eastAsia="Times New Roman" w:cs="Times New Roman"/>
        </w:rPr>
        <w:t>GoogleChrome</w:t>
      </w:r>
      <w:r>
        <w:rPr>
          <w:rFonts w:ascii="Times New Roman" w:hAnsi="Times New Roman" w:eastAsia="Times New Roman" w:cs="Times New Roman"/>
          <w:spacing w:val="5"/>
        </w:rPr>
        <w:t>-139.0.7258.140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  <w:spacing w:val="4"/>
        </w:rPr>
        <w:t>64</w:t>
      </w:r>
      <w:r>
        <w:rPr>
          <w:spacing w:val="8"/>
        </w:rPr>
        <w:t>位）以上、</w:t>
      </w:r>
      <w:r>
        <w:rPr>
          <w:rFonts w:ascii="Times New Roman" w:hAnsi="Times New Roman" w:eastAsia="Times New Roman" w:cs="Times New Roman"/>
        </w:rPr>
        <w:t>MicrosoftEdge</w:t>
      </w:r>
      <w:r>
        <w:rPr>
          <w:rFonts w:ascii="Times New Roman" w:hAnsi="Times New Roman" w:eastAsia="Times New Roman" w:cs="Times New Roman"/>
          <w:spacing w:val="8"/>
        </w:rPr>
        <w:t>-140.0.3485.54</w:t>
      </w: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64</w:t>
      </w:r>
      <w:r>
        <w:rPr>
          <w:spacing w:val="8"/>
        </w:rPr>
        <w:t>位）以上。</w:t>
      </w:r>
    </w:p>
    <w:p>
      <w:pPr>
        <w:ind w:left="651"/>
        <w:spacing w:before="133" w:line="227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二、评审区间确定</w:t>
      </w:r>
    </w:p>
    <w:p>
      <w:pPr>
        <w:pStyle w:val="BodyText"/>
        <w:ind w:left="2" w:firstLine="635"/>
        <w:spacing w:before="281" w:line="336" w:lineRule="auto"/>
        <w:rPr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一）当投标截止时间前递交投标文件的投标</w:t>
      </w:r>
      <w:r>
        <w:rPr>
          <w:spacing w:val="5"/>
        </w:rPr>
        <w:t>人（投标价</w:t>
      </w:r>
      <w:r>
        <w:rPr>
          <w:spacing w:val="2"/>
        </w:rPr>
        <w:t>低于风险控制价或高于最高投标限价的投标</w:t>
      </w:r>
      <w:r>
        <w:rPr>
          <w:spacing w:val="1"/>
        </w:rPr>
        <w:t>人不计入）</w:t>
      </w:r>
      <w:r>
        <w:rPr>
          <w:rFonts w:ascii="Times New Roman" w:hAnsi="Times New Roman" w:eastAsia="Times New Roman" w:cs="Times New Roman"/>
          <w:spacing w:val="1"/>
        </w:rPr>
        <w:t>≤20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1"/>
        </w:rPr>
        <w:t>家，</w:t>
      </w:r>
      <w:r>
        <w:rPr>
          <w:spacing w:val="8"/>
        </w:rPr>
        <w:t>所有投标人入围评审区间进入后续评标程序；</w:t>
      </w:r>
    </w:p>
    <w:p>
      <w:pPr>
        <w:pStyle w:val="BodyText"/>
        <w:ind w:left="2" w:right="81" w:firstLine="635"/>
        <w:spacing w:before="288" w:line="336" w:lineRule="auto"/>
        <w:rPr/>
      </w:pPr>
      <w:r>
        <w:rPr>
          <w:spacing w:val="6"/>
        </w:rPr>
        <w:t>（</w:t>
      </w:r>
      <w:r>
        <w:rPr>
          <w:spacing w:val="-82"/>
        </w:rPr>
        <w:t xml:space="preserve"> </w:t>
      </w:r>
      <w:r>
        <w:rPr>
          <w:spacing w:val="6"/>
        </w:rPr>
        <w:t>二）当投标截止时间前递交投标文件的投标人（投</w:t>
      </w:r>
      <w:r>
        <w:rPr>
          <w:spacing w:val="5"/>
        </w:rPr>
        <w:t>标价</w:t>
      </w:r>
      <w:r>
        <w:rPr>
          <w:spacing w:val="13"/>
        </w:rPr>
        <w:t>低于风险控制价或高于最高投标限价的投标人不计入）</w:t>
      </w:r>
      <w:r>
        <w:rPr>
          <w:rFonts w:ascii="Times New Roman" w:hAnsi="Times New Roman" w:eastAsia="Times New Roman" w:cs="Times New Roman"/>
          <w:spacing w:val="13"/>
        </w:rPr>
        <w:t>&gt;20</w:t>
      </w:r>
      <w:r>
        <w:rPr>
          <w:spacing w:val="13"/>
        </w:rPr>
        <w:t>家</w:t>
      </w:r>
      <w:r>
        <w:rPr>
          <w:spacing w:val="7"/>
        </w:rPr>
        <w:t>时，应启用评审区间。</w:t>
      </w:r>
    </w:p>
    <w:p>
      <w:pPr>
        <w:pStyle w:val="BodyText"/>
        <w:ind w:left="637"/>
        <w:spacing w:before="286" w:line="222" w:lineRule="auto"/>
        <w:rPr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三）投标价低于风险控制价或高于最高投标限价的投标</w:t>
      </w:r>
    </w:p>
    <w:p>
      <w:pPr>
        <w:spacing w:line="222" w:lineRule="auto"/>
        <w:sectPr>
          <w:footerReference w:type="default" r:id="rId31"/>
          <w:pgSz w:w="11906" w:h="16839"/>
          <w:pgMar w:top="1431" w:right="1562" w:bottom="1157" w:left="1651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7" w:right="97" w:hanging="1"/>
        <w:spacing w:before="100" w:line="393" w:lineRule="auto"/>
        <w:rPr/>
      </w:pPr>
      <w:r>
        <w:rPr>
          <w:spacing w:val="8"/>
        </w:rPr>
        <w:t>人不计入评审区间确定范围，相关抽取或评审或确定工作应先</w:t>
      </w:r>
      <w:r>
        <w:rPr>
          <w:spacing w:val="8"/>
        </w:rPr>
        <w:t>将不计入的投标文件去除后方可开展。</w:t>
      </w:r>
    </w:p>
    <w:p>
      <w:pPr>
        <w:pStyle w:val="BodyText"/>
        <w:ind w:left="7" w:firstLine="629"/>
        <w:spacing w:line="393" w:lineRule="auto"/>
        <w:jc w:val="both"/>
        <w:rPr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四）为防止投标人围标串标、恶意低价竞标、不合理贴</w:t>
      </w:r>
      <w:r>
        <w:rPr/>
        <w:t>近最高投标限价竞标，提高评标专家评标质量，结合信用评价、</w:t>
      </w:r>
      <w:r>
        <w:rPr>
          <w:spacing w:val="8"/>
        </w:rPr>
        <w:t>过往项目履约情况等因素，招标人在编制招标文件时应选用去</w:t>
      </w:r>
      <w:r>
        <w:rPr>
          <w:spacing w:val="8"/>
        </w:rPr>
        <w:t>高去低抽取法、基准价入评法、价格抽取法、信用抽取法、组</w:t>
      </w:r>
      <w:r>
        <w:rPr>
          <w:spacing w:val="8"/>
        </w:rPr>
        <w:t>合入评法中的一种方式确定评审区间。</w:t>
      </w:r>
    </w:p>
    <w:p>
      <w:pPr>
        <w:ind w:left="651"/>
        <w:spacing w:before="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方法一（去高去低抽取法）</w:t>
      </w:r>
    </w:p>
    <w:p>
      <w:pPr>
        <w:pStyle w:val="BodyText"/>
        <w:ind w:right="95" w:firstLine="654"/>
        <w:spacing w:before="288" w:line="390" w:lineRule="auto"/>
        <w:rPr/>
      </w:pPr>
      <w:r>
        <w:rPr>
          <w:spacing w:val="8"/>
        </w:rPr>
        <w:t>开标时，从所有投标人中分别去掉最高（超过最高投标限</w:t>
      </w:r>
      <w:r>
        <w:rPr>
          <w:spacing w:val="14"/>
        </w:rPr>
        <w:t>价的不计入）和最低（低于风险控制价的不计入）的</w:t>
      </w:r>
      <w:r>
        <w:rPr>
          <w:rFonts w:ascii="Times New Roman" w:hAnsi="Times New Roman" w:eastAsia="Times New Roman" w:cs="Times New Roman"/>
          <w:spacing w:val="13"/>
        </w:rPr>
        <w:t>K%</w:t>
      </w:r>
      <w:r>
        <w:rPr>
          <w:spacing w:val="13"/>
        </w:rPr>
        <w:t>个报</w:t>
      </w:r>
      <w:r>
        <w:rPr>
          <w:spacing w:val="5"/>
        </w:rPr>
        <w:t>价（</w:t>
      </w:r>
      <w:r>
        <w:rPr>
          <w:rFonts w:ascii="Times New Roman" w:hAnsi="Times New Roman" w:eastAsia="Times New Roman" w:cs="Times New Roman"/>
          <w:spacing w:val="5"/>
        </w:rPr>
        <w:t>K</w:t>
      </w:r>
      <w:r>
        <w:rPr>
          <w:spacing w:val="5"/>
        </w:rPr>
        <w:t>值在开标时从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15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20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5"/>
        </w:rPr>
        <w:t>、</w:t>
      </w:r>
      <w:r>
        <w:rPr>
          <w:rFonts w:ascii="Times New Roman" w:hAnsi="Times New Roman" w:eastAsia="Times New Roman" w:cs="Times New Roman"/>
          <w:spacing w:val="5"/>
        </w:rPr>
        <w:t>25</w:t>
      </w:r>
      <w:r>
        <w:rPr>
          <w:spacing w:val="5"/>
        </w:rPr>
        <w:t>等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个值中随机抽取，</w:t>
      </w:r>
      <w:r>
        <w:rPr>
          <w:spacing w:val="14"/>
        </w:rPr>
        <w:t>四舍五入，如出现第</w:t>
      </w:r>
      <w:r>
        <w:rPr>
          <w:rFonts w:ascii="Times New Roman" w:hAnsi="Times New Roman" w:eastAsia="Times New Roman" w:cs="Times New Roman"/>
          <w:spacing w:val="14"/>
        </w:rPr>
        <w:t>K%</w:t>
      </w:r>
      <w:r>
        <w:rPr>
          <w:spacing w:val="14"/>
        </w:rPr>
        <w:t>个报价的投标人有多家报价相同</w:t>
      </w:r>
      <w:r>
        <w:rPr>
          <w:spacing w:val="13"/>
        </w:rPr>
        <w:t>时，</w:t>
      </w:r>
      <w:r>
        <w:rPr>
          <w:spacing w:val="12"/>
        </w:rPr>
        <w:t>通过随机抽取确定去除第</w:t>
      </w:r>
      <w:r>
        <w:rPr>
          <w:rFonts w:ascii="Times New Roman" w:hAnsi="Times New Roman" w:eastAsia="Times New Roman" w:cs="Times New Roman"/>
          <w:spacing w:val="12"/>
        </w:rPr>
        <w:t>K%</w:t>
      </w:r>
      <w:r>
        <w:rPr>
          <w:spacing w:val="12"/>
        </w:rPr>
        <w:t>个报价的投标人</w:t>
      </w:r>
      <w:r>
        <w:rPr>
          <w:spacing w:val="37"/>
        </w:rPr>
        <w:t>），</w:t>
      </w:r>
      <w:r>
        <w:rPr>
          <w:spacing w:val="12"/>
        </w:rPr>
        <w:t>随机抽取确</w:t>
      </w:r>
      <w:r>
        <w:rPr>
          <w:spacing w:val="8"/>
        </w:rPr>
        <w:t>定</w:t>
      </w:r>
      <w:r>
        <w:rPr>
          <w:rFonts w:ascii="Times New Roman" w:hAnsi="Times New Roman" w:eastAsia="Times New Roman" w:cs="Times New Roman"/>
          <w:spacing w:val="8"/>
        </w:rPr>
        <w:t>N</w:t>
      </w:r>
      <w:r>
        <w:rPr>
          <w:spacing w:val="8"/>
        </w:rPr>
        <w:t>家投标人进入。直接选用该方式时，</w:t>
      </w:r>
      <w:r>
        <w:rPr>
          <w:rFonts w:ascii="Times New Roman" w:hAnsi="Times New Roman" w:eastAsia="Times New Roman" w:cs="Times New Roman"/>
          <w:spacing w:val="8"/>
        </w:rPr>
        <w:t>N=20</w:t>
      </w:r>
      <w:r>
        <w:rPr>
          <w:spacing w:val="8"/>
        </w:rPr>
        <w:t>；去高去低后不</w:t>
      </w:r>
      <w:r>
        <w:rPr>
          <w:spacing w:val="7"/>
        </w:rPr>
        <w:t>足</w:t>
      </w:r>
      <w:r>
        <w:rPr>
          <w:rFonts w:ascii="Times New Roman" w:hAnsi="Times New Roman" w:eastAsia="Times New Roman" w:cs="Times New Roman"/>
          <w:spacing w:val="7"/>
        </w:rPr>
        <w:t>20</w:t>
      </w:r>
      <w:r>
        <w:rPr>
          <w:spacing w:val="7"/>
        </w:rPr>
        <w:t>家的，不再另行递补。</w:t>
      </w:r>
    </w:p>
    <w:p>
      <w:pPr>
        <w:ind w:left="651"/>
        <w:spacing w:before="3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方法二（基准价入评法）</w:t>
      </w:r>
    </w:p>
    <w:p>
      <w:pPr>
        <w:pStyle w:val="BodyText"/>
        <w:ind w:left="3" w:right="95" w:firstLine="684"/>
        <w:spacing w:before="293" w:line="393" w:lineRule="auto"/>
        <w:rPr/>
      </w:pPr>
      <w:r>
        <w:rPr>
          <w:spacing w:val="7"/>
        </w:rPr>
        <w:t>以最高投标限价下浮计算评标基准价的，开标</w:t>
      </w:r>
      <w:r>
        <w:rPr>
          <w:spacing w:val="6"/>
        </w:rPr>
        <w:t>时，以报价</w:t>
      </w:r>
      <w:r>
        <w:rPr>
          <w:spacing w:val="8"/>
        </w:rPr>
        <w:t>最接近评标基准价（投标价低于风险控制价或高于最高投标限</w:t>
      </w:r>
      <w:r>
        <w:rPr>
          <w:spacing w:val="12"/>
        </w:rPr>
        <w:t>价的投标人不计入）的</w:t>
      </w:r>
      <w:r>
        <w:rPr>
          <w:rFonts w:ascii="Times New Roman" w:hAnsi="Times New Roman" w:eastAsia="Times New Roman" w:cs="Times New Roman"/>
          <w:spacing w:val="12"/>
        </w:rPr>
        <w:t>N</w:t>
      </w:r>
      <w:r>
        <w:rPr>
          <w:spacing w:val="12"/>
        </w:rPr>
        <w:t>家进入评审区间，</w:t>
      </w:r>
      <w:r>
        <w:rPr>
          <w:spacing w:val="-73"/>
        </w:rPr>
        <w:t xml:space="preserve"> </w:t>
      </w:r>
      <w:r>
        <w:rPr>
          <w:spacing w:val="12"/>
        </w:rPr>
        <w:t>当选择第</w:t>
      </w:r>
      <w:r>
        <w:rPr>
          <w:rFonts w:ascii="Times New Roman" w:hAnsi="Times New Roman" w:eastAsia="Times New Roman" w:cs="Times New Roman"/>
          <w:spacing w:val="12"/>
        </w:rPr>
        <w:t>N</w:t>
      </w:r>
      <w:r>
        <w:rPr>
          <w:spacing w:val="12"/>
        </w:rPr>
        <w:t>家时出</w:t>
      </w:r>
      <w:r>
        <w:rPr>
          <w:spacing w:val="8"/>
        </w:rPr>
        <w:t>现多家报价与评标基准价之间的差额相同的，随机抽取确定第</w:t>
      </w:r>
    </w:p>
    <w:p>
      <w:pPr>
        <w:spacing w:line="393" w:lineRule="auto"/>
        <w:sectPr>
          <w:footerReference w:type="default" r:id="rId32"/>
          <w:pgSz w:w="11906" w:h="16839"/>
          <w:pgMar w:top="1431" w:right="1548" w:bottom="1157" w:left="1652" w:header="0" w:footer="992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spacing w:before="101" w:line="429" w:lineRule="exact"/>
        <w:rPr/>
      </w:pPr>
      <w:r>
        <w:rPr>
          <w:rFonts w:ascii="Times New Roman" w:hAnsi="Times New Roman" w:eastAsia="Times New Roman" w:cs="Times New Roman"/>
          <w:spacing w:val="8"/>
          <w:position w:val="2"/>
        </w:rPr>
        <w:t>N</w:t>
      </w:r>
      <w:r>
        <w:rPr>
          <w:spacing w:val="8"/>
          <w:position w:val="2"/>
        </w:rPr>
        <w:t>家入围单位。直接选用该方式时，</w:t>
      </w:r>
      <w:r>
        <w:rPr>
          <w:rFonts w:ascii="Times New Roman" w:hAnsi="Times New Roman" w:eastAsia="Times New Roman" w:cs="Times New Roman"/>
          <w:spacing w:val="8"/>
          <w:position w:val="2"/>
        </w:rPr>
        <w:t>N=20</w:t>
      </w:r>
      <w:r>
        <w:rPr>
          <w:spacing w:val="8"/>
          <w:position w:val="2"/>
        </w:rPr>
        <w:t>。</w:t>
      </w:r>
    </w:p>
    <w:p>
      <w:pPr>
        <w:ind w:left="663"/>
        <w:spacing w:before="289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5"/>
        </w:rPr>
        <w:t>方法三（价格抽取法）</w:t>
      </w:r>
    </w:p>
    <w:p>
      <w:pPr>
        <w:pStyle w:val="BodyText"/>
        <w:ind w:left="8" w:firstLine="658"/>
        <w:spacing w:before="273" w:line="391" w:lineRule="auto"/>
        <w:rPr/>
      </w:pPr>
      <w:r>
        <w:rPr>
          <w:spacing w:val="8"/>
        </w:rPr>
        <w:t>开标时，排除投标价低于风险控制价或高于最高投标限价</w:t>
      </w:r>
      <w:r>
        <w:rPr>
          <w:spacing w:val="9"/>
        </w:rPr>
        <w:t>的投标人后，分别去除投标报价最高和最低</w:t>
      </w:r>
      <w:r>
        <w:rPr>
          <w:spacing w:val="8"/>
        </w:rPr>
        <w:t>的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Q</w:t>
      </w:r>
      <w:r>
        <w:rPr>
          <w:spacing w:val="8"/>
        </w:rPr>
        <w:t>（开标时有效</w:t>
      </w:r>
      <w:r>
        <w:rPr>
          <w:spacing w:val="-1"/>
        </w:rPr>
        <w:t>投标人数量的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10%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1"/>
        </w:rPr>
        <w:t>～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30%</w:t>
      </w:r>
      <w:r>
        <w:rPr>
          <w:spacing w:val="-1"/>
        </w:rPr>
        <w:t>，</w:t>
      </w:r>
      <w:r>
        <w:rPr>
          <w:spacing w:val="-84"/>
        </w:rPr>
        <w:t xml:space="preserve"> </w:t>
      </w:r>
      <w:r>
        <w:rPr>
          <w:spacing w:val="-1"/>
        </w:rPr>
        <w:t>由招标人编制招标文件时确定，</w:t>
      </w:r>
      <w:r>
        <w:rPr>
          <w:spacing w:val="-90"/>
        </w:rPr>
        <w:t xml:space="preserve"> </w:t>
      </w:r>
      <w:r>
        <w:rPr>
          <w:spacing w:val="-1"/>
        </w:rPr>
        <w:t>四</w:t>
      </w:r>
      <w:r>
        <w:rPr>
          <w:spacing w:val="5"/>
        </w:rPr>
        <w:t>舍五入，如出现第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Q </w:t>
      </w:r>
      <w:r>
        <w:rPr>
          <w:spacing w:val="5"/>
        </w:rPr>
        <w:t>个报价的投标人有多家报价相同时，通过</w:t>
      </w:r>
      <w:r>
        <w:rPr>
          <w:spacing w:val="5"/>
        </w:rPr>
        <w:t>随机抽取确定去除的第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Q </w:t>
      </w:r>
      <w:r>
        <w:rPr>
          <w:spacing w:val="5"/>
        </w:rPr>
        <w:t>个报价的投标人）个报价，将剩余投</w:t>
      </w:r>
      <w:r>
        <w:rPr>
          <w:spacing w:val="10"/>
        </w:rPr>
        <w:t>标报价从高到低排序后计算差值</w:t>
      </w:r>
      <w:r>
        <w:rPr>
          <w:rFonts w:ascii="Times New Roman" w:hAnsi="Times New Roman" w:eastAsia="Times New Roman" w:cs="Times New Roman"/>
          <w:spacing w:val="10"/>
        </w:rPr>
        <w:t>[</w:t>
      </w:r>
      <w:r>
        <w:rPr>
          <w:spacing w:val="10"/>
        </w:rPr>
        <w:t>差值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C=</w:t>
      </w:r>
      <w:r>
        <w:rPr>
          <w:spacing w:val="10"/>
        </w:rPr>
        <w:t>（最高报价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BH</w:t>
      </w:r>
      <w:r>
        <w:rPr>
          <w:rFonts w:ascii="Times New Roman" w:hAnsi="Times New Roman" w:eastAsia="Times New Roman" w:cs="Times New Roman"/>
          <w:spacing w:val="10"/>
        </w:rPr>
        <w:t>-</w:t>
      </w:r>
      <w:r>
        <w:rPr>
          <w:spacing w:val="10"/>
        </w:rPr>
        <w:t>最低</w:t>
      </w:r>
      <w:r>
        <w:rPr>
          <w:spacing w:val="-6"/>
        </w:rPr>
        <w:t>报价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BL</w:t>
      </w:r>
      <w:r>
        <w:rPr>
          <w:spacing w:val="-6"/>
        </w:rPr>
        <w:t>）</w:t>
      </w:r>
      <w:r>
        <w:rPr>
          <w:rFonts w:ascii="Times New Roman" w:hAnsi="Times New Roman" w:eastAsia="Times New Roman" w:cs="Times New Roman"/>
          <w:spacing w:val="-6"/>
        </w:rPr>
        <w:t>/3</w:t>
      </w:r>
      <w:r>
        <w:rPr>
          <w:spacing w:val="-6"/>
        </w:rPr>
        <w:t>，四舍五入保留至元</w:t>
      </w:r>
      <w:r>
        <w:rPr>
          <w:rFonts w:ascii="Times New Roman" w:hAnsi="Times New Roman" w:eastAsia="Times New Roman" w:cs="Times New Roman"/>
          <w:spacing w:val="-6"/>
        </w:rPr>
        <w:t>]</w:t>
      </w:r>
      <w:r>
        <w:rPr>
          <w:spacing w:val="-6"/>
        </w:rPr>
        <w:t>，按差值将投标报价分为高</w:t>
      </w:r>
      <w:r>
        <w:rPr>
          <w:rFonts w:ascii="Times New Roman" w:hAnsi="Times New Roman" w:eastAsia="Times New Roman" w:cs="Times New Roman"/>
          <w:spacing w:val="-6"/>
        </w:rPr>
        <w:t>[BH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2"/>
        </w:rPr>
        <w:t>（含）至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BH</w:t>
      </w:r>
      <w:r>
        <w:rPr>
          <w:rFonts w:ascii="Times New Roman" w:hAnsi="Times New Roman" w:eastAsia="Times New Roman" w:cs="Times New Roman"/>
          <w:spacing w:val="2"/>
        </w:rPr>
        <w:t>-C</w:t>
      </w:r>
      <w:r>
        <w:rPr>
          <w:spacing w:val="2"/>
        </w:rPr>
        <w:t>（含）</w:t>
      </w:r>
      <w:r>
        <w:rPr>
          <w:rFonts w:ascii="Times New Roman" w:hAnsi="Times New Roman" w:eastAsia="Times New Roman" w:cs="Times New Roman"/>
          <w:spacing w:val="2"/>
        </w:rPr>
        <w:t>]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、</w:t>
      </w:r>
      <w:r>
        <w:rPr>
          <w:spacing w:val="-92"/>
        </w:rPr>
        <w:t xml:space="preserve"> </w:t>
      </w:r>
      <w:r>
        <w:rPr>
          <w:spacing w:val="2"/>
        </w:rPr>
        <w:t>中</w:t>
      </w: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rFonts w:ascii="Times New Roman" w:hAnsi="Times New Roman" w:eastAsia="Times New Roman" w:cs="Times New Roman"/>
        </w:rPr>
        <w:t>BH</w:t>
      </w:r>
      <w:r>
        <w:rPr>
          <w:rFonts w:ascii="Times New Roman" w:hAnsi="Times New Roman" w:eastAsia="Times New Roman" w:cs="Times New Roman"/>
          <w:spacing w:val="2"/>
        </w:rPr>
        <w:t>-C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2"/>
        </w:rPr>
        <w:t>至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BL</w:t>
      </w:r>
      <w:r>
        <w:rPr>
          <w:rFonts w:ascii="Times New Roman" w:hAnsi="Times New Roman" w:eastAsia="Times New Roman" w:cs="Times New Roman"/>
          <w:spacing w:val="2"/>
        </w:rPr>
        <w:t>+C</w:t>
      </w:r>
      <w:r>
        <w:rPr>
          <w:spacing w:val="2"/>
        </w:rPr>
        <w:t>（含）</w:t>
      </w:r>
      <w:r>
        <w:rPr>
          <w:rFonts w:ascii="Times New Roman" w:hAnsi="Times New Roman" w:eastAsia="Times New Roman" w:cs="Times New Roman"/>
          <w:spacing w:val="2"/>
        </w:rPr>
        <w:t>]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、低</w:t>
      </w:r>
      <w:r>
        <w:rPr>
          <w:rFonts w:ascii="Times New Roman" w:hAnsi="Times New Roman" w:eastAsia="Times New Roman" w:cs="Times New Roman"/>
          <w:spacing w:val="2"/>
        </w:rPr>
        <w:t>[</w:t>
      </w:r>
      <w:r>
        <w:rPr>
          <w:rFonts w:ascii="Times New Roman" w:hAnsi="Times New Roman" w:eastAsia="Times New Roman" w:cs="Times New Roman"/>
        </w:rPr>
        <w:t>BL</w:t>
      </w:r>
      <w:r>
        <w:rPr>
          <w:rFonts w:ascii="Times New Roman" w:hAnsi="Times New Roman" w:eastAsia="Times New Roman" w:cs="Times New Roman"/>
          <w:spacing w:val="2"/>
        </w:rPr>
        <w:t>+C</w:t>
      </w:r>
      <w:r>
        <w:rPr>
          <w:spacing w:val="6"/>
        </w:rPr>
        <w:t>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BL</w:t>
      </w:r>
      <w:r>
        <w:rPr>
          <w:spacing w:val="6"/>
        </w:rPr>
        <w:t>（含）</w:t>
      </w:r>
      <w:r>
        <w:rPr>
          <w:rFonts w:ascii="Times New Roman" w:hAnsi="Times New Roman" w:eastAsia="Times New Roman" w:cs="Times New Roman"/>
          <w:spacing w:val="6"/>
        </w:rPr>
        <w:t>]</w:t>
      </w:r>
      <w:r>
        <w:rPr>
          <w:spacing w:val="6"/>
        </w:rPr>
        <w:t>三个区间，随后在每个区间内随机分别抽取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M1</w:t>
      </w:r>
      <w:r>
        <w:rPr>
          <w:spacing w:val="6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M2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M3 </w:t>
      </w:r>
      <w:r>
        <w:rPr>
          <w:spacing w:val="3"/>
        </w:rPr>
        <w:t>个投标人；</w:t>
      </w:r>
    </w:p>
    <w:p>
      <w:pPr>
        <w:pStyle w:val="BodyText"/>
        <w:ind w:left="18" w:right="97" w:firstLine="634"/>
        <w:spacing w:before="41" w:line="386" w:lineRule="auto"/>
        <w:jc w:val="both"/>
        <w:rPr/>
      </w:pPr>
      <w:r>
        <w:rPr>
          <w:spacing w:val="9"/>
        </w:rPr>
        <w:t>存在价格抽取方式产生的入围评审区间投标人数量不足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N</w:t>
      </w:r>
      <w:r>
        <w:rPr>
          <w:spacing w:val="8"/>
        </w:rPr>
        <w:t>个的，在中区间依次抽取递补（若中区间投标人不足递补，则</w:t>
      </w:r>
      <w:r>
        <w:rPr>
          <w:spacing w:val="8"/>
        </w:rPr>
        <w:t>中区间投标人全部进入，并在低区间继续依次抽取递补；若低</w:t>
      </w:r>
      <w:r>
        <w:rPr>
          <w:spacing w:val="8"/>
        </w:rPr>
        <w:t>区间投标人仍不足递补，则在高区间继续依次抽取递补</w:t>
      </w:r>
      <w:r>
        <w:rPr>
          <w:spacing w:val="14"/>
        </w:rPr>
        <w:t>），</w:t>
      </w:r>
      <w:r>
        <w:rPr>
          <w:spacing w:val="8"/>
        </w:rPr>
        <w:t>直</w:t>
      </w:r>
      <w:r>
        <w:rPr>
          <w:spacing w:val="12"/>
        </w:rPr>
        <w:t>至入围评审区间的投标人达到</w:t>
      </w:r>
      <w:r>
        <w:rPr>
          <w:rFonts w:ascii="Times New Roman" w:hAnsi="Times New Roman" w:eastAsia="Times New Roman" w:cs="Times New Roman"/>
          <w:spacing w:val="12"/>
        </w:rPr>
        <w:t>N </w:t>
      </w:r>
      <w:r>
        <w:rPr>
          <w:spacing w:val="12"/>
        </w:rPr>
        <w:t>个；</w:t>
      </w:r>
    </w:p>
    <w:p>
      <w:pPr>
        <w:pStyle w:val="BodyText"/>
        <w:ind w:right="13" w:firstLine="656"/>
        <w:spacing w:before="3" w:line="387" w:lineRule="auto"/>
        <w:rPr/>
      </w:pPr>
      <w:r>
        <w:rPr>
          <w:rFonts w:ascii="Times New Roman" w:hAnsi="Times New Roman" w:eastAsia="Times New Roman" w:cs="Times New Roman"/>
          <w:spacing w:val="5"/>
        </w:rPr>
        <w:t>C=</w:t>
      </w:r>
      <w:r>
        <w:rPr>
          <w:spacing w:val="5"/>
        </w:rPr>
        <w:t>（最高报价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BH</w:t>
      </w:r>
      <w:r>
        <w:rPr>
          <w:rFonts w:ascii="Times New Roman" w:hAnsi="Times New Roman" w:eastAsia="Times New Roman" w:cs="Times New Roman"/>
          <w:spacing w:val="5"/>
        </w:rPr>
        <w:t>-</w:t>
      </w:r>
      <w:r>
        <w:rPr>
          <w:spacing w:val="5"/>
        </w:rPr>
        <w:t>最低报价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BL</w:t>
      </w:r>
      <w:r>
        <w:rPr>
          <w:spacing w:val="5"/>
        </w:rPr>
        <w:t>）</w:t>
      </w:r>
      <w:r>
        <w:rPr>
          <w:rFonts w:ascii="Times New Roman" w:hAnsi="Times New Roman" w:eastAsia="Times New Roman" w:cs="Times New Roman"/>
          <w:spacing w:val="5"/>
        </w:rPr>
        <w:t>/3</w:t>
      </w:r>
      <w:r>
        <w:rPr>
          <w:spacing w:val="5"/>
        </w:rPr>
        <w:t>，直接选用该</w:t>
      </w:r>
      <w:r>
        <w:rPr>
          <w:spacing w:val="4"/>
        </w:rPr>
        <w:t>方式时，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N=20</w:t>
      </w:r>
      <w:r>
        <w:rPr>
          <w:spacing w:val="8"/>
        </w:rPr>
        <w:t>；去高去低后不足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 </w:t>
      </w:r>
      <w:r>
        <w:rPr>
          <w:spacing w:val="8"/>
        </w:rPr>
        <w:t>家的，不再另行递</w:t>
      </w:r>
      <w:r>
        <w:rPr>
          <w:spacing w:val="7"/>
        </w:rPr>
        <w:t>补；</w:t>
      </w:r>
    </w:p>
    <w:p>
      <w:pPr>
        <w:pStyle w:val="BodyText"/>
        <w:ind w:left="666"/>
        <w:spacing w:before="17" w:line="429" w:lineRule="exact"/>
        <w:rPr/>
      </w:pPr>
      <w:r>
        <w:rPr>
          <w:spacing w:val="3"/>
          <w:position w:val="2"/>
        </w:rPr>
        <w:t>如</w:t>
      </w:r>
      <w:r>
        <w:rPr>
          <w:spacing w:val="3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"/>
        </w:rPr>
        <w:t>N=3M3 </w:t>
      </w:r>
      <w:r>
        <w:rPr>
          <w:spacing w:val="3"/>
          <w:position w:val="2"/>
        </w:rPr>
        <w:t>，</w:t>
      </w:r>
      <w:r>
        <w:rPr>
          <w:spacing w:val="-37"/>
          <w:position w:val="2"/>
        </w:rPr>
        <w:t xml:space="preserve"> </w:t>
      </w:r>
      <w:r>
        <w:rPr>
          <w:spacing w:val="3"/>
          <w:position w:val="2"/>
        </w:rPr>
        <w:t>则</w:t>
      </w:r>
      <w:r>
        <w:rPr>
          <w:spacing w:val="3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"/>
        </w:rPr>
        <w:t>M1=M2=M3=N/3</w:t>
      </w:r>
      <w:r>
        <w:rPr>
          <w:rFonts w:ascii="Times New Roman" w:hAnsi="Times New Roman" w:eastAsia="Times New Roman" w:cs="Times New Roman"/>
          <w:spacing w:val="40"/>
          <w:position w:val="2"/>
        </w:rPr>
        <w:t xml:space="preserve"> </w:t>
      </w:r>
      <w:r>
        <w:rPr>
          <w:spacing w:val="3"/>
          <w:position w:val="2"/>
        </w:rPr>
        <w:t>；</w:t>
      </w:r>
      <w:r>
        <w:rPr>
          <w:spacing w:val="-26"/>
          <w:position w:val="2"/>
        </w:rPr>
        <w:t xml:space="preserve"> </w:t>
      </w:r>
      <w:r>
        <w:rPr>
          <w:spacing w:val="3"/>
          <w:position w:val="2"/>
        </w:rPr>
        <w:t>如</w:t>
      </w:r>
      <w:r>
        <w:rPr>
          <w:spacing w:val="3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2"/>
        </w:rPr>
        <w:t>N=3M3+1 </w:t>
      </w:r>
      <w:r>
        <w:rPr>
          <w:spacing w:val="3"/>
          <w:position w:val="2"/>
        </w:rPr>
        <w:t>，</w:t>
      </w:r>
      <w:r>
        <w:rPr>
          <w:spacing w:val="-38"/>
          <w:position w:val="2"/>
        </w:rPr>
        <w:t xml:space="preserve"> </w:t>
      </w:r>
      <w:r>
        <w:rPr>
          <w:spacing w:val="3"/>
          <w:position w:val="2"/>
        </w:rPr>
        <w:t>则</w:t>
      </w:r>
    </w:p>
    <w:p>
      <w:pPr>
        <w:spacing w:line="429" w:lineRule="exact"/>
        <w:sectPr>
          <w:footerReference w:type="default" r:id="rId33"/>
          <w:pgSz w:w="11906" w:h="16839"/>
          <w:pgMar w:top="1431" w:right="1548" w:bottom="1157" w:left="1640" w:header="0" w:footer="992" w:gutter="0"/>
        </w:sectPr>
        <w:rPr/>
      </w:pP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654" w:right="122" w:hanging="654"/>
        <w:spacing w:before="101" w:line="384" w:lineRule="auto"/>
        <w:rPr>
          <w:rFonts w:ascii="KaiTi" w:hAnsi="KaiTi" w:eastAsia="KaiTi" w:cs="KaiTi"/>
        </w:rPr>
      </w:pPr>
      <w:r>
        <w:rPr>
          <w:rFonts w:ascii="Times New Roman" w:hAnsi="Times New Roman" w:eastAsia="Times New Roman" w:cs="Times New Roman"/>
          <w:spacing w:val="5"/>
        </w:rPr>
        <w:t>M2=M3+1</w:t>
      </w:r>
      <w:r>
        <w:rPr>
          <w:spacing w:val="5"/>
        </w:rPr>
        <w:t>，</w:t>
      </w:r>
      <w:r>
        <w:rPr>
          <w:rFonts w:ascii="Times New Roman" w:hAnsi="Times New Roman" w:eastAsia="Times New Roman" w:cs="Times New Roman"/>
          <w:spacing w:val="5"/>
        </w:rPr>
        <w:t>M1=M3</w:t>
      </w:r>
      <w:r>
        <w:rPr>
          <w:spacing w:val="5"/>
        </w:rPr>
        <w:t>；如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N=3M3-1</w:t>
      </w:r>
      <w:r>
        <w:rPr>
          <w:spacing w:val="5"/>
        </w:rPr>
        <w:t>，则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M2=</w:t>
      </w:r>
      <w:r>
        <w:rPr>
          <w:rFonts w:ascii="Times New Roman" w:hAnsi="Times New Roman" w:eastAsia="Times New Roman" w:cs="Times New Roman"/>
          <w:spacing w:val="4"/>
        </w:rPr>
        <w:t>M3</w:t>
      </w:r>
      <w:r>
        <w:rPr>
          <w:spacing w:val="4"/>
        </w:rPr>
        <w:t>，</w:t>
      </w:r>
      <w:r>
        <w:rPr>
          <w:rFonts w:ascii="Times New Roman" w:hAnsi="Times New Roman" w:eastAsia="Times New Roman" w:cs="Times New Roman"/>
          <w:spacing w:val="4"/>
        </w:rPr>
        <w:t>M1=M3-1</w:t>
      </w:r>
      <w:r>
        <w:rPr>
          <w:spacing w:val="4"/>
        </w:rPr>
        <w:t>。</w:t>
      </w:r>
      <w:r>
        <w:rPr>
          <w:rFonts w:ascii="KaiTi" w:hAnsi="KaiTi" w:eastAsia="KaiTi" w:cs="KaiTi"/>
          <w:b/>
          <w:bCs/>
          <w:spacing w:val="5"/>
        </w:rPr>
        <w:t>方法四（信用抽取法）</w:t>
      </w:r>
    </w:p>
    <w:p>
      <w:pPr>
        <w:pStyle w:val="BodyText"/>
        <w:ind w:left="3" w:firstLine="654"/>
        <w:spacing w:before="91" w:line="390" w:lineRule="auto"/>
        <w:jc w:val="both"/>
        <w:rPr/>
      </w:pPr>
      <w:r>
        <w:rPr>
          <w:spacing w:val="8"/>
        </w:rPr>
        <w:t>开标时，按照投标人设计或施工信用评价等级（招标人在</w:t>
      </w:r>
      <w:r>
        <w:rPr>
          <w:spacing w:val="21"/>
        </w:rPr>
        <w:t>编制招标文件时根据招标项目特点和需求从设计或施工信用</w:t>
      </w:r>
      <w:r>
        <w:rPr>
          <w:spacing w:val="9"/>
        </w:rPr>
        <w:t>评价中确定其中一种。联合体投标时，由全部</w:t>
      </w:r>
      <w:r>
        <w:rPr>
          <w:spacing w:val="8"/>
        </w:rPr>
        <w:t>或主要承担该任</w:t>
      </w:r>
      <w:r>
        <w:rPr>
          <w:spacing w:val="12"/>
        </w:rPr>
        <w:t>务的联合体成员单位提供）分为</w:t>
      </w:r>
      <w:r>
        <w:rPr>
          <w:rFonts w:ascii="Times New Roman" w:hAnsi="Times New Roman" w:eastAsia="Times New Roman" w:cs="Times New Roman"/>
          <w:spacing w:val="12"/>
        </w:rPr>
        <w:t>A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12"/>
        </w:rPr>
        <w:t>级、</w:t>
      </w:r>
      <w:r>
        <w:rPr>
          <w:rFonts w:ascii="Times New Roman" w:hAnsi="Times New Roman" w:eastAsia="Times New Roman" w:cs="Times New Roman"/>
          <w:spacing w:val="12"/>
        </w:rPr>
        <w:t>B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12"/>
        </w:rPr>
        <w:t>级和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CDE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2"/>
        </w:rPr>
        <w:t>级三类，</w:t>
      </w:r>
      <w:r>
        <w:rPr>
          <w:spacing w:val="3"/>
        </w:rPr>
        <w:t>分别随机抽取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M1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M2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M3</w:t>
      </w:r>
      <w:r>
        <w:rPr>
          <w:spacing w:val="3"/>
        </w:rPr>
        <w:t>（投标价低于风险控制价或高于最</w:t>
      </w:r>
      <w:r>
        <w:rPr>
          <w:spacing w:val="6"/>
        </w:rPr>
        <w:t>高投标限价的投标人不计入）。</w:t>
      </w:r>
      <w:r>
        <w:rPr>
          <w:spacing w:val="-79"/>
        </w:rPr>
        <w:t xml:space="preserve"> </w:t>
      </w:r>
      <w:r>
        <w:rPr>
          <w:spacing w:val="6"/>
        </w:rPr>
        <w:t>当按此法抽取产生的投标人数</w:t>
      </w:r>
      <w:r>
        <w:rPr>
          <w:spacing w:val="13"/>
        </w:rPr>
        <w:t>量不足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N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3"/>
        </w:rPr>
        <w:t>个时，首先在信用评价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A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3"/>
        </w:rPr>
        <w:t>级单位中抽</w:t>
      </w:r>
      <w:r>
        <w:rPr>
          <w:spacing w:val="12"/>
        </w:rPr>
        <w:t>取递补；若信</w:t>
      </w:r>
      <w:r>
        <w:rPr>
          <w:spacing w:val="12"/>
        </w:rPr>
        <w:t>用评价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A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2"/>
        </w:rPr>
        <w:t>级单位不足递补，则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A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2"/>
        </w:rPr>
        <w:t>级单位全部递补，并在信用</w:t>
      </w:r>
      <w:r>
        <w:rPr>
          <w:spacing w:val="2"/>
        </w:rPr>
        <w:t>评价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级单位中继续依次抽取递补；若信用评价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级单位仍不</w:t>
      </w:r>
      <w:r>
        <w:rPr>
          <w:spacing w:val="7"/>
        </w:rPr>
        <w:t>足递补，</w:t>
      </w:r>
      <w:r>
        <w:rPr>
          <w:spacing w:val="-81"/>
        </w:rPr>
        <w:t xml:space="preserve"> </w:t>
      </w:r>
      <w:r>
        <w:rPr>
          <w:spacing w:val="7"/>
        </w:rPr>
        <w:t>由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7"/>
        </w:rPr>
        <w:t>级单位全部递补，并在信用评价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CDE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7"/>
        </w:rPr>
        <w:t>级单位中</w:t>
      </w:r>
      <w:r>
        <w:rPr>
          <w:spacing w:val="21"/>
        </w:rPr>
        <w:t>继续依次抽取递补，直至入围评审区间的投标人数</w:t>
      </w:r>
      <w:r>
        <w:rPr>
          <w:spacing w:val="20"/>
        </w:rPr>
        <w:t>量达到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20"/>
        </w:rPr>
        <w:t>N</w:t>
      </w:r>
      <w:r>
        <w:rPr>
          <w:spacing w:val="7"/>
        </w:rPr>
        <w:t>个。直接选用该方式时，</w:t>
      </w:r>
      <w:r>
        <w:rPr>
          <w:rFonts w:ascii="Times New Roman" w:hAnsi="Times New Roman" w:eastAsia="Times New Roman" w:cs="Times New Roman"/>
          <w:spacing w:val="7"/>
        </w:rPr>
        <w:t>N=20</w:t>
      </w:r>
      <w:r>
        <w:rPr>
          <w:spacing w:val="7"/>
        </w:rPr>
        <w:t>。</w:t>
      </w:r>
    </w:p>
    <w:p>
      <w:pPr>
        <w:pStyle w:val="BodyText"/>
        <w:ind w:left="653" w:right="378" w:hanging="13"/>
        <w:spacing w:before="1" w:line="381" w:lineRule="auto"/>
        <w:rPr>
          <w:rFonts w:ascii="KaiTi" w:hAnsi="KaiTi" w:eastAsia="KaiTi" w:cs="KaiTi"/>
        </w:rPr>
      </w:pPr>
      <w:r>
        <w:rPr>
          <w:rFonts w:ascii="Times New Roman" w:hAnsi="Times New Roman" w:eastAsia="Times New Roman" w:cs="Times New Roman"/>
          <w:spacing w:val="2"/>
        </w:rPr>
        <w:t>M1=0.6N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</w:rPr>
        <w:t>M2=0.3N</w:t>
      </w:r>
      <w:r>
        <w:rPr>
          <w:spacing w:val="2"/>
        </w:rPr>
        <w:t>，</w:t>
      </w:r>
      <w:r>
        <w:rPr>
          <w:spacing w:val="-93"/>
        </w:rPr>
        <w:t xml:space="preserve"> </w:t>
      </w:r>
      <w:r>
        <w:rPr>
          <w:spacing w:val="2"/>
        </w:rPr>
        <w:t>四舍五入</w:t>
      </w:r>
      <w:r>
        <w:rPr>
          <w:spacing w:val="1"/>
        </w:rPr>
        <w:t>取整，</w:t>
      </w:r>
      <w:r>
        <w:rPr>
          <w:rFonts w:ascii="Times New Roman" w:hAnsi="Times New Roman" w:eastAsia="Times New Roman" w:cs="Times New Roman"/>
          <w:spacing w:val="1"/>
        </w:rPr>
        <w:t>M3=N-M1-M2</w:t>
      </w:r>
      <w:r>
        <w:rPr>
          <w:spacing w:val="1"/>
        </w:rPr>
        <w:t>。</w:t>
      </w:r>
      <w:r>
        <w:rPr>
          <w:rFonts w:ascii="KaiTi" w:hAnsi="KaiTi" w:eastAsia="KaiTi" w:cs="KaiTi"/>
          <w:b/>
          <w:bCs/>
          <w:spacing w:val="5"/>
        </w:rPr>
        <w:t>方法五（组合入评法）</w:t>
      </w:r>
    </w:p>
    <w:p>
      <w:pPr>
        <w:pStyle w:val="BodyText"/>
        <w:ind w:left="3" w:right="2" w:firstLine="688"/>
        <w:spacing w:before="40" w:line="399" w:lineRule="auto"/>
        <w:jc w:val="both"/>
        <w:rPr/>
      </w:pPr>
      <w:r>
        <w:rPr>
          <w:spacing w:val="3"/>
        </w:rPr>
        <w:t>由招标人开标前确定</w:t>
      </w:r>
      <w:r>
        <w:rPr>
          <w:rFonts w:ascii="Times New Roman" w:hAnsi="Times New Roman" w:eastAsia="Times New Roman" w:cs="Times New Roman"/>
          <w:spacing w:val="3"/>
        </w:rPr>
        <w:t>N1=3</w:t>
      </w:r>
      <w:r>
        <w:rPr>
          <w:spacing w:val="3"/>
        </w:rPr>
        <w:t>家开标时公布（投标价低于</w:t>
      </w:r>
      <w:r>
        <w:rPr>
          <w:spacing w:val="2"/>
        </w:rPr>
        <w:t>风险</w:t>
      </w:r>
      <w:r>
        <w:rPr>
          <w:spacing w:val="9"/>
        </w:rPr>
        <w:t>控制价或高于最高投标限价的投标人不计入，</w:t>
      </w:r>
      <w:r>
        <w:rPr>
          <w:spacing w:val="8"/>
        </w:rPr>
        <w:t>招标人确定的投</w:t>
      </w:r>
      <w:r>
        <w:rPr>
          <w:spacing w:val="9"/>
        </w:rPr>
        <w:t>标人未参加投标或报价未计入的，不再由招标</w:t>
      </w:r>
      <w:r>
        <w:rPr>
          <w:spacing w:val="8"/>
        </w:rPr>
        <w:t>人补充推荐，不</w:t>
      </w:r>
      <w:r>
        <w:rPr>
          <w:spacing w:val="9"/>
        </w:rPr>
        <w:t>足数量按照组合方式另外补足</w:t>
      </w:r>
      <w:r>
        <w:rPr>
          <w:spacing w:val="32"/>
        </w:rPr>
        <w:t>），</w:t>
      </w:r>
      <w:r>
        <w:rPr>
          <w:spacing w:val="9"/>
        </w:rPr>
        <w:t>另外</w:t>
      </w:r>
      <w:r>
        <w:rPr>
          <w:rFonts w:ascii="Times New Roman" w:hAnsi="Times New Roman" w:eastAsia="Times New Roman" w:cs="Times New Roman"/>
          <w:spacing w:val="9"/>
        </w:rPr>
        <w:t>N2≥17</w:t>
      </w:r>
      <w:r>
        <w:rPr>
          <w:spacing w:val="9"/>
        </w:rPr>
        <w:t>家，同时与方法</w:t>
      </w:r>
    </w:p>
    <w:p>
      <w:pPr>
        <w:spacing w:line="399" w:lineRule="auto"/>
        <w:sectPr>
          <w:footerReference w:type="default" r:id="rId34"/>
          <w:pgSz w:w="11906" w:h="16839"/>
          <w:pgMar w:top="1431" w:right="1643" w:bottom="1157" w:left="1649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100" w:line="221" w:lineRule="auto"/>
        <w:rPr/>
      </w:pPr>
      <w:r>
        <w:rPr>
          <w:spacing w:val="8"/>
        </w:rPr>
        <w:t>一～方法四中的一种组合，确定剩余的入评投标人。</w:t>
      </w:r>
    </w:p>
    <w:p>
      <w:pPr>
        <w:pStyle w:val="BodyText"/>
        <w:ind w:right="95" w:firstLine="641"/>
        <w:spacing w:before="287" w:line="393" w:lineRule="auto"/>
        <w:jc w:val="both"/>
        <w:rPr/>
      </w:pPr>
      <w:r>
        <w:rPr>
          <w:spacing w:val="6"/>
        </w:rPr>
        <w:t>（</w:t>
      </w:r>
      <w:r>
        <w:rPr>
          <w:spacing w:val="-84"/>
        </w:rPr>
        <w:t xml:space="preserve"> </w:t>
      </w:r>
      <w:r>
        <w:rPr>
          <w:spacing w:val="6"/>
        </w:rPr>
        <w:t>五）经评标委员会后续评审，技术标明标项目（技术标</w:t>
      </w:r>
      <w:r>
        <w:rPr>
          <w:spacing w:val="9"/>
        </w:rPr>
        <w:t>暗标项目不递补）如出现因否决投标导致有效投标人数</w:t>
      </w:r>
      <w:r>
        <w:rPr>
          <w:spacing w:val="8"/>
        </w:rPr>
        <w:t>量不能</w:t>
      </w:r>
      <w:r>
        <w:rPr>
          <w:spacing w:val="8"/>
        </w:rPr>
        <w:t>满足推荐中标候选人数量要求时，继续按照上述规则补足</w:t>
      </w:r>
      <w:r>
        <w:rPr>
          <w:rFonts w:ascii="Times New Roman" w:hAnsi="Times New Roman" w:eastAsia="Times New Roman" w:cs="Times New Roman"/>
          <w:spacing w:val="8"/>
        </w:rPr>
        <w:t>20</w:t>
      </w:r>
      <w:r>
        <w:rPr>
          <w:spacing w:val="8"/>
        </w:rPr>
        <w:t>家</w:t>
      </w:r>
      <w:r>
        <w:rPr>
          <w:spacing w:val="9"/>
        </w:rPr>
        <w:t>（不足</w:t>
      </w:r>
      <w:r>
        <w:rPr>
          <w:rFonts w:ascii="Times New Roman" w:hAnsi="Times New Roman" w:eastAsia="Times New Roman" w:cs="Times New Roman"/>
          <w:spacing w:val="9"/>
        </w:rPr>
        <w:t>20</w:t>
      </w:r>
      <w:r>
        <w:rPr>
          <w:spacing w:val="9"/>
        </w:rPr>
        <w:t>家的则全部进入）进入评审区间</w:t>
      </w:r>
      <w:r>
        <w:rPr>
          <w:spacing w:val="8"/>
        </w:rPr>
        <w:t>。除此之外，其他情</w:t>
      </w:r>
      <w:r>
        <w:rPr>
          <w:spacing w:val="7"/>
        </w:rPr>
        <w:t>形将不作递补。</w:t>
      </w:r>
    </w:p>
    <w:p>
      <w:pPr>
        <w:ind w:left="655"/>
        <w:spacing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三、商务标评审</w:t>
      </w:r>
    </w:p>
    <w:p>
      <w:pPr>
        <w:pStyle w:val="BodyText"/>
        <w:ind w:left="8" w:firstLine="632"/>
        <w:spacing w:before="277" w:line="365" w:lineRule="auto"/>
        <w:rPr/>
      </w:pPr>
      <w:r>
        <w:rPr/>
        <w:t>（一）商务标评审是对投标文件中项目清单的范围、数量、</w:t>
      </w:r>
      <w:r>
        <w:rPr>
          <w:spacing w:val="8"/>
        </w:rPr>
        <w:t>报价进行全面审核和对比分析。投标文件存在《浙江省房屋建</w:t>
      </w:r>
      <w:r>
        <w:rPr>
          <w:spacing w:val="3"/>
        </w:rPr>
        <w:t>筑和市政基础设施工程总承包招标文件示范文本（</w:t>
      </w:r>
      <w:r>
        <w:rPr>
          <w:rFonts w:ascii="Times New Roman" w:hAnsi="Times New Roman" w:eastAsia="Times New Roman" w:cs="Times New Roman"/>
          <w:spacing w:val="3"/>
        </w:rPr>
        <w:t>2024 </w:t>
      </w:r>
      <w:r>
        <w:rPr>
          <w:spacing w:val="3"/>
        </w:rPr>
        <w:t>版）》</w:t>
      </w:r>
      <w:r>
        <w:rPr>
          <w:spacing w:val="3"/>
        </w:rPr>
        <w:t>投标须知前附表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10.1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3"/>
        </w:rPr>
        <w:t>情形商务标内容之一的，评标委员会</w:t>
      </w:r>
      <w:r>
        <w:rPr>
          <w:spacing w:val="2"/>
        </w:rPr>
        <w:t>组织</w:t>
      </w:r>
      <w:r>
        <w:rPr>
          <w:spacing w:val="8"/>
        </w:rPr>
        <w:t>投标人询问核实后，情况属实的，商务标评审不予通过，否决</w:t>
      </w:r>
      <w:r>
        <w:rPr>
          <w:spacing w:val="8"/>
        </w:rPr>
        <w:t>其投标，不再进入后续评审程序。</w:t>
      </w:r>
    </w:p>
    <w:p>
      <w:pPr>
        <w:pStyle w:val="BodyText"/>
        <w:ind w:left="641"/>
        <w:spacing w:before="288" w:line="222" w:lineRule="auto"/>
        <w:rPr/>
      </w:pPr>
      <w:r>
        <w:rPr>
          <w:spacing w:val="-1"/>
        </w:rPr>
        <w:t>（</w:t>
      </w:r>
      <w:r>
        <w:rPr>
          <w:spacing w:val="-75"/>
        </w:rPr>
        <w:t xml:space="preserve"> </w:t>
      </w:r>
      <w:r>
        <w:rPr>
          <w:spacing w:val="-1"/>
        </w:rPr>
        <w:t>二）商务标评分</w:t>
      </w:r>
    </w:p>
    <w:p>
      <w:pPr>
        <w:pStyle w:val="BodyText"/>
        <w:ind w:left="14" w:right="140" w:firstLine="638"/>
        <w:spacing w:before="286" w:line="393" w:lineRule="auto"/>
        <w:rPr/>
      </w:pPr>
      <w:r>
        <w:rPr>
          <w:spacing w:val="8"/>
        </w:rPr>
        <w:t>技术复杂项目，商务标评分</w:t>
      </w:r>
      <w:r>
        <w:rPr>
          <w:rFonts w:ascii="Times New Roman" w:hAnsi="Times New Roman" w:eastAsia="Times New Roman" w:cs="Times New Roman"/>
          <w:spacing w:val="8"/>
        </w:rPr>
        <w:t>≥65 </w:t>
      </w:r>
      <w:r>
        <w:rPr>
          <w:spacing w:val="8"/>
        </w:rPr>
        <w:t>分；非技术复杂项目，商</w:t>
      </w:r>
      <w:r>
        <w:rPr>
          <w:spacing w:val="4"/>
        </w:rPr>
        <w:t>务标评分</w:t>
      </w:r>
      <w:r>
        <w:rPr>
          <w:rFonts w:ascii="Times New Roman" w:hAnsi="Times New Roman" w:eastAsia="Times New Roman" w:cs="Times New Roman"/>
          <w:spacing w:val="4"/>
        </w:rPr>
        <w:t>≥75 </w:t>
      </w:r>
      <w:r>
        <w:rPr>
          <w:spacing w:val="4"/>
        </w:rPr>
        <w:t>分。</w:t>
      </w:r>
    </w:p>
    <w:p>
      <w:pPr>
        <w:pStyle w:val="BodyText"/>
        <w:ind w:left="9" w:right="95" w:firstLine="643"/>
        <w:spacing w:before="4" w:line="393" w:lineRule="auto"/>
        <w:jc w:val="both"/>
        <w:rPr/>
      </w:pPr>
      <w:r>
        <w:rPr>
          <w:spacing w:val="8"/>
        </w:rPr>
        <w:t>投标报价等于评标基准价时，商务评分为满分；投标报价</w:t>
      </w:r>
      <w:r>
        <w:rPr>
          <w:spacing w:val="16"/>
        </w:rPr>
        <w:t>分值按以下几种方式之一计算（</w:t>
      </w:r>
      <w:r>
        <w:rPr>
          <w:spacing w:val="-28"/>
        </w:rPr>
        <w:t xml:space="preserve"> </w:t>
      </w:r>
      <w:r>
        <w:rPr>
          <w:spacing w:val="16"/>
        </w:rPr>
        <w:t>由招标人编制招标文件时明</w:t>
      </w:r>
      <w:r>
        <w:rPr>
          <w:spacing w:val="1"/>
        </w:rPr>
        <w:t>确</w:t>
      </w:r>
      <w:r>
        <w:rPr>
          <w:spacing w:val="-65"/>
          <w:w w:val="73"/>
        </w:rPr>
        <w:t>）：（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）每高于评标基准价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1%</w:t>
      </w:r>
      <w:r>
        <w:rPr>
          <w:spacing w:val="1"/>
        </w:rPr>
        <w:t>扣</w:t>
      </w:r>
      <w:r>
        <w:rPr>
          <w:rFonts w:ascii="Times New Roman" w:hAnsi="Times New Roman" w:eastAsia="Times New Roman" w:cs="Times New Roman"/>
          <w:spacing w:val="1"/>
        </w:rPr>
        <w:t>2 </w:t>
      </w:r>
      <w:r>
        <w:rPr>
          <w:spacing w:val="1"/>
        </w:rPr>
        <w:t>分，每低于评标基准价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1%</w:t>
      </w:r>
      <w:r>
        <w:rPr>
          <w:spacing w:val="4"/>
        </w:rPr>
        <w:t>扣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 </w:t>
      </w:r>
      <w:r>
        <w:rPr>
          <w:spacing w:val="4"/>
        </w:rPr>
        <w:t>分</w:t>
      </w:r>
      <w:r>
        <w:rPr>
          <w:spacing w:val="-68"/>
          <w:w w:val="78"/>
        </w:rPr>
        <w:t>；（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）每高于评标基准价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1%</w:t>
      </w:r>
      <w:r>
        <w:rPr>
          <w:spacing w:val="4"/>
        </w:rPr>
        <w:t>扣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1.5 </w:t>
      </w:r>
      <w:r>
        <w:rPr>
          <w:spacing w:val="4"/>
        </w:rPr>
        <w:t>分，每低于评标基准</w:t>
      </w:r>
    </w:p>
    <w:p>
      <w:pPr>
        <w:spacing w:line="393" w:lineRule="auto"/>
        <w:sectPr>
          <w:footerReference w:type="default" r:id="rId35"/>
          <w:pgSz w:w="11906" w:h="16839"/>
          <w:pgMar w:top="1431" w:right="1548" w:bottom="1157" w:left="1647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4" w:right="81" w:firstLine="5"/>
        <w:spacing w:before="101" w:line="393" w:lineRule="auto"/>
        <w:jc w:val="both"/>
        <w:rPr/>
      </w:pPr>
      <w:r>
        <w:rPr>
          <w:spacing w:val="-1"/>
        </w:rPr>
        <w:t>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1%</w:t>
      </w:r>
      <w:r>
        <w:rPr>
          <w:spacing w:val="-1"/>
        </w:rPr>
        <w:t>扣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分</w:t>
      </w:r>
      <w:r>
        <w:rPr>
          <w:spacing w:val="-75"/>
        </w:rPr>
        <w:t>；（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1"/>
        </w:rPr>
        <w:t>）每高于评标基准价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1%</w:t>
      </w:r>
      <w:r>
        <w:rPr>
          <w:spacing w:val="-1"/>
        </w:rPr>
        <w:t>扣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</w:t>
      </w:r>
      <w:r>
        <w:rPr>
          <w:spacing w:val="-1"/>
        </w:rPr>
        <w:t>分，每低</w:t>
      </w:r>
      <w:r>
        <w:rPr>
          <w:spacing w:val="-2"/>
        </w:rPr>
        <w:t>于评标</w:t>
      </w:r>
      <w:r>
        <w:rPr>
          <w:spacing w:val="9"/>
        </w:rPr>
        <w:t>基准价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1%</w:t>
      </w:r>
      <w:r>
        <w:rPr>
          <w:spacing w:val="9"/>
        </w:rPr>
        <w:t>扣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0.5 </w:t>
      </w:r>
      <w:r>
        <w:rPr>
          <w:spacing w:val="9"/>
        </w:rPr>
        <w:t>分</w:t>
      </w:r>
      <w:r>
        <w:rPr>
          <w:spacing w:val="-78"/>
          <w:w w:val="89"/>
        </w:rPr>
        <w:t>；（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）每高于评标基准价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0.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1%</w:t>
      </w:r>
      <w:r>
        <w:rPr>
          <w:spacing w:val="9"/>
        </w:rPr>
        <w:t>扣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4 </w:t>
      </w:r>
      <w:r>
        <w:rPr>
          <w:spacing w:val="9"/>
        </w:rPr>
        <w:t>分，每</w:t>
      </w:r>
      <w:r>
        <w:rPr>
          <w:spacing w:val="12"/>
        </w:rPr>
        <w:t>低于评标基准价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0.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1%</w:t>
      </w:r>
      <w:r>
        <w:rPr>
          <w:spacing w:val="12"/>
        </w:rPr>
        <w:t>扣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2"/>
        </w:rPr>
        <w:t>分（仅适用于评标基准价计算</w:t>
      </w:r>
      <w:r>
        <w:rPr>
          <w:spacing w:val="11"/>
        </w:rPr>
        <w:t>方法</w:t>
      </w:r>
      <w:r>
        <w:rPr>
          <w:spacing w:val="9"/>
        </w:rPr>
        <w:t>五）。不足一个百分点时，使用直线插入法计算，结</w:t>
      </w:r>
      <w:r>
        <w:rPr>
          <w:spacing w:val="8"/>
        </w:rPr>
        <w:t>果四舍五</w:t>
      </w:r>
      <w:r>
        <w:rPr>
          <w:spacing w:val="12"/>
        </w:rPr>
        <w:t>入保留两位小数，商务评分最低为</w:t>
      </w:r>
      <w:r>
        <w:rPr>
          <w:rFonts w:ascii="Times New Roman" w:hAnsi="Times New Roman" w:eastAsia="Times New Roman" w:cs="Times New Roman"/>
          <w:spacing w:val="12"/>
        </w:rPr>
        <w:t>0 </w:t>
      </w:r>
      <w:r>
        <w:rPr>
          <w:spacing w:val="12"/>
        </w:rPr>
        <w:t>分。</w:t>
      </w:r>
    </w:p>
    <w:p>
      <w:pPr>
        <w:pStyle w:val="BodyText"/>
        <w:ind w:firstLine="650"/>
        <w:spacing w:line="393" w:lineRule="auto"/>
        <w:jc w:val="both"/>
        <w:rPr/>
      </w:pPr>
      <w:r>
        <w:rPr>
          <w:spacing w:val="8"/>
        </w:rPr>
        <w:t>评标基准价计算范围为通过符合性评审、技术标评审、资</w:t>
      </w:r>
      <w:r>
        <w:rPr>
          <w:spacing w:val="9"/>
        </w:rPr>
        <w:t>信评审及商务标评审的投标人投标报价，且企业信用评价等级</w:t>
      </w:r>
      <w:r>
        <w:rPr>
          <w:spacing w:val="4"/>
        </w:rPr>
        <w:t>不低于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4"/>
        </w:rPr>
        <w:t>级或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4"/>
        </w:rPr>
        <w:t>级或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级或不设置等级（</w:t>
      </w:r>
      <w:r>
        <w:rPr>
          <w:spacing w:val="-55"/>
        </w:rPr>
        <w:t xml:space="preserve"> </w:t>
      </w:r>
      <w:r>
        <w:rPr>
          <w:spacing w:val="4"/>
        </w:rPr>
        <w:t>由招标人确定其一，</w:t>
      </w:r>
      <w:r>
        <w:rPr>
          <w:spacing w:val="2"/>
        </w:rPr>
        <w:t>最高投标限价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5000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万元以上的项目可选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2"/>
        </w:rPr>
        <w:t>、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2"/>
        </w:rPr>
        <w:t>级或不设置</w:t>
      </w:r>
      <w:r>
        <w:rPr>
          <w:spacing w:val="4"/>
        </w:rPr>
        <w:t>信用，不足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5000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万元的项目可选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3"/>
        </w:rPr>
        <w:t>级或不设置信用</w:t>
      </w:r>
      <w:r>
        <w:rPr>
          <w:spacing w:val="-59"/>
        </w:rPr>
        <w:t>），</w:t>
      </w:r>
      <w:r>
        <w:rPr>
          <w:spacing w:val="3"/>
        </w:rPr>
        <w:t>计</w:t>
      </w:r>
      <w:r>
        <w:rPr>
          <w:spacing w:val="11"/>
        </w:rPr>
        <w:t>算范围少于中标候选人数量的则依次降低企业信用评价等级，</w:t>
      </w:r>
      <w:r>
        <w:rPr>
          <w:spacing w:val="9"/>
        </w:rPr>
        <w:t>如仍达不到，则全部计入计算范围。评标基准价计算精度保留</w:t>
      </w:r>
      <w:r>
        <w:rPr>
          <w:spacing w:val="5"/>
        </w:rPr>
        <w:t>到元。</w:t>
      </w:r>
    </w:p>
    <w:p>
      <w:pPr>
        <w:pStyle w:val="BodyText"/>
        <w:ind w:left="655"/>
        <w:spacing w:line="222" w:lineRule="auto"/>
        <w:rPr/>
      </w:pPr>
      <w:r>
        <w:rPr>
          <w:spacing w:val="8"/>
        </w:rPr>
        <w:t>招标人应选用下列适合的方式确定评标基准价：</w:t>
      </w:r>
    </w:p>
    <w:p>
      <w:pPr>
        <w:ind w:left="643"/>
        <w:spacing w:before="285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评标基准价计算方法一（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综合权重法）</w:t>
      </w:r>
    </w:p>
    <w:p>
      <w:pPr>
        <w:pStyle w:val="BodyText"/>
        <w:ind w:left="1" w:right="83" w:firstLine="648"/>
        <w:spacing w:before="231" w:line="402" w:lineRule="auto"/>
        <w:rPr/>
      </w:pPr>
      <w:r>
        <w:rPr>
          <w:spacing w:val="13"/>
        </w:rPr>
        <w:t>评标基准价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=  </w:t>
      </w:r>
      <w:r>
        <w:rPr>
          <w:spacing w:val="13"/>
        </w:rPr>
        <w:t>进入评分范围的所有投标人的</w:t>
      </w:r>
      <w:r>
        <w:rPr>
          <w:spacing w:val="12"/>
        </w:rPr>
        <w:t>评标价的报</w:t>
      </w:r>
      <w:r>
        <w:rPr>
          <w:spacing w:val="3"/>
        </w:rPr>
        <w:t>价平均值</w:t>
      </w:r>
      <w:r>
        <w:rPr>
          <w:rFonts w:ascii="Times New Roman" w:hAnsi="Times New Roman" w:eastAsia="Times New Roman" w:cs="Times New Roman"/>
          <w:spacing w:val="3"/>
        </w:rPr>
        <w:t>×</w:t>
      </w:r>
      <w:r>
        <w:rPr>
          <w:spacing w:val="3"/>
        </w:rPr>
        <w:t>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1+</w:t>
      </w:r>
      <w:r>
        <w:rPr>
          <w:spacing w:val="3"/>
        </w:rPr>
        <w:t>浮动率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spacing w:val="3"/>
        </w:rPr>
        <w:t>）</w:t>
      </w:r>
      <w:r>
        <w:rPr>
          <w:rFonts w:ascii="Times New Roman" w:hAnsi="Times New Roman" w:eastAsia="Times New Roman" w:cs="Times New Roman"/>
          <w:spacing w:val="3"/>
        </w:rPr>
        <w:t>×</w:t>
      </w:r>
      <w:r>
        <w:rPr>
          <w:spacing w:val="3"/>
        </w:rPr>
        <w:t>投标价格权重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B +  </w:t>
      </w:r>
      <w:r>
        <w:rPr>
          <w:spacing w:val="3"/>
        </w:rPr>
        <w:t>最高投标限价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×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1-1%×</w:t>
      </w:r>
      <w:r>
        <w:rPr>
          <w:spacing w:val="-1"/>
        </w:rPr>
        <w:t>调整系数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X-0.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1%×</w:t>
      </w:r>
      <w:r>
        <w:rPr>
          <w:spacing w:val="-1"/>
        </w:rPr>
        <w:t>调整系数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Y</w:t>
      </w:r>
      <w:r>
        <w:rPr>
          <w:spacing w:val="-1"/>
        </w:rPr>
        <w:t>）</w:t>
      </w:r>
      <w:r>
        <w:rPr>
          <w:spacing w:val="-11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×</w:t>
      </w:r>
      <w:r>
        <w:rPr>
          <w:spacing w:val="-1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2"/>
        </w:rPr>
        <w:t>－投标价格权重</w:t>
      </w:r>
      <w:r>
        <w:rPr>
          <w:rFonts w:ascii="Times New Roman" w:hAnsi="Times New Roman" w:eastAsia="Times New Roman" w:cs="Times New Roman"/>
          <w:spacing w:val="-53"/>
        </w:rPr>
        <w:t>B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3"/>
        </w:rPr>
        <w:t>）。</w:t>
      </w:r>
    </w:p>
    <w:p>
      <w:pPr>
        <w:pStyle w:val="BodyText"/>
        <w:ind w:left="660"/>
        <w:spacing w:before="1" w:line="221" w:lineRule="auto"/>
        <w:rPr/>
      </w:pPr>
      <w:r>
        <w:rPr>
          <w:spacing w:val="8"/>
        </w:rPr>
        <w:t>报价平均值：进入计算范围的所有投标人的评标价的算术</w:t>
      </w:r>
    </w:p>
    <w:p>
      <w:pPr>
        <w:spacing w:line="221" w:lineRule="auto"/>
        <w:sectPr>
          <w:footerReference w:type="default" r:id="rId36"/>
          <w:pgSz w:w="11906" w:h="16839"/>
          <w:pgMar w:top="1431" w:right="1562" w:bottom="1157" w:left="1646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71" w:right="156" w:firstLine="2"/>
        <w:spacing w:before="101" w:line="393" w:lineRule="auto"/>
        <w:jc w:val="both"/>
        <w:rPr/>
      </w:pPr>
      <w:r>
        <w:rPr>
          <w:spacing w:val="10"/>
        </w:rPr>
        <w:t>平均值为报价平均值（投标评标价在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 </w:t>
      </w:r>
      <w:r>
        <w:rPr>
          <w:spacing w:val="10"/>
        </w:rPr>
        <w:t>个至</w:t>
      </w:r>
      <w:r>
        <w:rPr>
          <w:rFonts w:ascii="Times New Roman" w:hAnsi="Times New Roman" w:eastAsia="Times New Roman" w:cs="Times New Roman"/>
          <w:spacing w:val="10"/>
        </w:rPr>
        <w:t>9 </w:t>
      </w:r>
      <w:r>
        <w:rPr>
          <w:spacing w:val="10"/>
        </w:rPr>
        <w:t>个时</w:t>
      </w:r>
      <w:r>
        <w:rPr>
          <w:spacing w:val="9"/>
        </w:rPr>
        <w:t>，去除一个</w:t>
      </w:r>
      <w:r>
        <w:rPr>
          <w:spacing w:val="12"/>
        </w:rPr>
        <w:t>最高价和一个最低价；投标评标价在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10 </w:t>
      </w:r>
      <w:r>
        <w:rPr>
          <w:spacing w:val="12"/>
        </w:rPr>
        <w:t>个及以上时，去除一</w:t>
      </w:r>
      <w:r>
        <w:rPr>
          <w:spacing w:val="5"/>
        </w:rPr>
        <w:t>个最高、次高价和一个最低、次低价；</w:t>
      </w:r>
      <w:r>
        <w:rPr>
          <w:spacing w:val="-89"/>
        </w:rPr>
        <w:t xml:space="preserve"> </w:t>
      </w:r>
      <w:r>
        <w:rPr>
          <w:spacing w:val="5"/>
        </w:rPr>
        <w:t>当投标评标价</w:t>
      </w:r>
      <w:r>
        <w:rPr>
          <w:spacing w:val="4"/>
        </w:rPr>
        <w:t>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家及</w:t>
      </w:r>
      <w:r>
        <w:rPr>
          <w:spacing w:val="2"/>
        </w:rPr>
        <w:t>以下时，则为全部投标评标价的平均值）。</w:t>
      </w:r>
    </w:p>
    <w:p>
      <w:pPr>
        <w:pStyle w:val="BodyText"/>
        <w:ind w:left="178" w:firstLine="640"/>
        <w:spacing w:before="5" w:line="392" w:lineRule="auto"/>
        <w:jc w:val="both"/>
        <w:rPr/>
      </w:pPr>
      <w:r>
        <w:rPr>
          <w:spacing w:val="8"/>
        </w:rPr>
        <w:t>浮动率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spacing w:val="8"/>
        </w:rPr>
        <w:t>：在开标会议上，从一定数值中随机抽取一个值</w:t>
      </w:r>
      <w:r>
        <w:rPr>
          <w:spacing w:val="-1"/>
        </w:rPr>
        <w:t>并除以</w:t>
      </w:r>
      <w:r>
        <w:rPr>
          <w:rFonts w:ascii="Times New Roman" w:hAnsi="Times New Roman" w:eastAsia="Times New Roman" w:cs="Times New Roman"/>
          <w:spacing w:val="-1"/>
        </w:rPr>
        <w:t>100</w:t>
      </w:r>
      <w:r>
        <w:rPr>
          <w:spacing w:val="-1"/>
        </w:rPr>
        <w:t>生成百分数，以此值为准。招标人在</w:t>
      </w:r>
      <w:r>
        <w:rPr>
          <w:rFonts w:ascii="Times New Roman" w:hAnsi="Times New Roman" w:eastAsia="Times New Roman" w:cs="Times New Roman"/>
          <w:spacing w:val="-1"/>
        </w:rPr>
        <w:t>-4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1"/>
        </w:rPr>
        <w:t>～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（含本数）</w:t>
      </w:r>
      <w:r>
        <w:rPr>
          <w:spacing w:val="4"/>
        </w:rPr>
        <w:t>的范围内设定五个数组成的等差数列（等差值</w:t>
      </w:r>
      <w:r>
        <w:rPr>
          <w:rFonts w:ascii="Times New Roman" w:hAnsi="Times New Roman" w:eastAsia="Times New Roman" w:cs="Times New Roman"/>
          <w:spacing w:val="4"/>
        </w:rPr>
        <w:t>≥0.25</w:t>
      </w:r>
      <w:r>
        <w:rPr>
          <w:spacing w:val="4"/>
        </w:rPr>
        <w:t>，且五个数</w:t>
      </w:r>
      <w:r>
        <w:rPr>
          <w:spacing w:val="6"/>
        </w:rPr>
        <w:t>至少三个＜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spacing w:val="-57"/>
        </w:rPr>
        <w:t>），</w:t>
      </w:r>
      <w:r>
        <w:rPr>
          <w:spacing w:val="6"/>
        </w:rPr>
        <w:t>在编制招标文件时填入。</w:t>
      </w:r>
    </w:p>
    <w:p>
      <w:pPr>
        <w:pStyle w:val="BodyText"/>
        <w:ind w:left="175" w:right="219" w:firstLine="633"/>
        <w:spacing w:before="1" w:line="393" w:lineRule="auto"/>
        <w:rPr/>
      </w:pPr>
      <w:r>
        <w:rPr>
          <w:spacing w:val="3"/>
        </w:rPr>
        <w:t>价格权重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B  </w:t>
      </w:r>
      <w:r>
        <w:rPr>
          <w:spacing w:val="3"/>
        </w:rPr>
        <w:t>：在开标会议上从</w:t>
      </w:r>
      <w:r>
        <w:rPr>
          <w:rFonts w:ascii="Times New Roman" w:hAnsi="Times New Roman" w:eastAsia="Times New Roman" w:cs="Times New Roman"/>
          <w:spacing w:val="3"/>
        </w:rPr>
        <w:t>60%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65%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70%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75</w:t>
      </w:r>
      <w:r>
        <w:rPr>
          <w:rFonts w:ascii="Times New Roman" w:hAnsi="Times New Roman" w:eastAsia="Times New Roman" w:cs="Times New Roman"/>
          <w:spacing w:val="2"/>
        </w:rPr>
        <w:t>%</w:t>
      </w:r>
      <w:r>
        <w:rPr>
          <w:spacing w:val="2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4"/>
        </w:rPr>
        <w:t>80%</w:t>
      </w:r>
      <w:r>
        <w:rPr>
          <w:spacing w:val="4"/>
        </w:rPr>
        <w:t>共五个数值中随机抽取，</w:t>
      </w:r>
      <w:r>
        <w:rPr>
          <w:spacing w:val="-75"/>
        </w:rPr>
        <w:t xml:space="preserve"> </w:t>
      </w:r>
      <w:r>
        <w:rPr>
          <w:spacing w:val="4"/>
        </w:rPr>
        <w:t>以抽取值为准。</w:t>
      </w:r>
    </w:p>
    <w:p>
      <w:pPr>
        <w:pStyle w:val="BodyText"/>
        <w:ind w:right="153" w:firstLine="809"/>
        <w:spacing w:line="393" w:lineRule="auto"/>
        <w:jc w:val="both"/>
        <w:rPr/>
      </w:pPr>
      <w:r>
        <w:rPr/>
        <w:t>调整系数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X</w:t>
      </w:r>
      <w:r>
        <w:rPr/>
        <w:t>、</w:t>
      </w:r>
      <w:r>
        <w:rPr>
          <w:rFonts w:ascii="Times New Roman" w:hAnsi="Times New Roman" w:eastAsia="Times New Roman" w:cs="Times New Roman"/>
        </w:rPr>
        <w:t>Y</w:t>
      </w:r>
      <w:r>
        <w:rPr/>
        <w:t>：</w:t>
      </w:r>
      <w:r>
        <w:rPr>
          <w:rFonts w:ascii="Times New Roman" w:hAnsi="Times New Roman" w:eastAsia="Times New Roman" w:cs="Times New Roman"/>
        </w:rPr>
        <w:t>X </w:t>
      </w:r>
      <w:r>
        <w:rPr/>
        <w:t>值由招标人在编制招标文件时从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/>
        <w:t>～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</w:rPr>
        <w:t>12 </w:t>
      </w:r>
      <w:r>
        <w:rPr>
          <w:spacing w:val="9"/>
        </w:rPr>
        <w:t>（整数）十三个数中确定</w:t>
      </w: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个连续的数值，在开标会议</w:t>
      </w:r>
      <w:r>
        <w:rPr>
          <w:spacing w:val="8"/>
        </w:rPr>
        <w:t>上从中随</w:t>
      </w:r>
      <w:r>
        <w:rPr>
          <w:spacing w:val="8"/>
        </w:rPr>
        <w:t>机抽取，</w:t>
      </w:r>
      <w:r>
        <w:rPr>
          <w:spacing w:val="-88"/>
        </w:rPr>
        <w:t xml:space="preserve"> </w:t>
      </w:r>
      <w:r>
        <w:rPr>
          <w:spacing w:val="8"/>
        </w:rPr>
        <w:t>以抽取值为准；</w:t>
      </w:r>
      <w:r>
        <w:rPr>
          <w:rFonts w:ascii="Times New Roman" w:hAnsi="Times New Roman" w:eastAsia="Times New Roman" w:cs="Times New Roman"/>
          <w:spacing w:val="8"/>
        </w:rPr>
        <w:t>Y </w:t>
      </w:r>
      <w:r>
        <w:rPr>
          <w:spacing w:val="8"/>
        </w:rPr>
        <w:t>值在开标会议上从</w:t>
      </w:r>
      <w:r>
        <w:rPr>
          <w:rFonts w:ascii="Times New Roman" w:hAnsi="Times New Roman" w:eastAsia="Times New Roman" w:cs="Times New Roman"/>
          <w:spacing w:val="8"/>
        </w:rPr>
        <w:t>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7"/>
        </w:rPr>
        <w:t>～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spacing w:val="7"/>
        </w:rPr>
        <w:t>（整数）十</w:t>
      </w:r>
      <w:r>
        <w:rPr>
          <w:spacing w:val="14"/>
        </w:rPr>
        <w:t>个数数字中随机抽取，</w:t>
      </w:r>
      <w:r>
        <w:rPr>
          <w:spacing w:val="-79"/>
        </w:rPr>
        <w:t xml:space="preserve"> </w:t>
      </w:r>
      <w:r>
        <w:rPr>
          <w:spacing w:val="14"/>
        </w:rPr>
        <w:t>以抽取值为准。</w:t>
      </w:r>
    </w:p>
    <w:p>
      <w:pPr>
        <w:pStyle w:val="BodyText"/>
        <w:ind w:left="178" w:right="156" w:firstLine="638"/>
        <w:spacing w:before="1" w:line="392" w:lineRule="auto"/>
        <w:rPr/>
      </w:pPr>
      <w:r>
        <w:rPr>
          <w:spacing w:val="4"/>
        </w:rPr>
        <w:t>上述价格权重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4"/>
        </w:rPr>
        <w:t>、浮动率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4"/>
        </w:rPr>
        <w:t>和调整系数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X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Y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4"/>
        </w:rPr>
        <w:t>由招</w:t>
      </w:r>
      <w:r>
        <w:rPr>
          <w:spacing w:val="3"/>
        </w:rPr>
        <w:t>标人在</w:t>
      </w:r>
      <w:r>
        <w:rPr>
          <w:spacing w:val="6"/>
        </w:rPr>
        <w:t>开标时所有商务报价开出后当场分别在设定数值中随机抽取。</w:t>
      </w:r>
    </w:p>
    <w:p>
      <w:pPr>
        <w:ind w:left="802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评标基准价计算方法二（</w:t>
      </w:r>
      <w:r>
        <w:rPr>
          <w:rFonts w:ascii="KaiTi" w:hAnsi="KaiTi" w:eastAsia="KaiTi" w:cs="KaiTi"/>
          <w:sz w:val="31"/>
          <w:szCs w:val="31"/>
          <w:spacing w:val="-8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二次平均法）</w:t>
      </w:r>
    </w:p>
    <w:p>
      <w:pPr>
        <w:pStyle w:val="BodyText"/>
        <w:ind w:left="801"/>
        <w:spacing w:before="292" w:line="222" w:lineRule="auto"/>
        <w:rPr/>
      </w:pPr>
      <w:r>
        <w:rPr>
          <w:spacing w:val="3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）评标价的确定：评标价＝投标函文字报价。</w:t>
      </w:r>
    </w:p>
    <w:p>
      <w:pPr>
        <w:pStyle w:val="BodyText"/>
        <w:ind w:left="196" w:right="156" w:firstLine="605"/>
        <w:spacing w:before="288" w:line="306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）报价平均值：进入计算范围的所有投标人的评标价</w:t>
      </w:r>
      <w:r>
        <w:rPr>
          <w:spacing w:val="9"/>
        </w:rPr>
        <w:t>的算术平均值为报价平均值（投标评标价在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 </w:t>
      </w:r>
      <w:r>
        <w:rPr>
          <w:spacing w:val="9"/>
        </w:rPr>
        <w:t>个至</w:t>
      </w:r>
      <w:r>
        <w:rPr>
          <w:rFonts w:ascii="Times New Roman" w:hAnsi="Times New Roman" w:eastAsia="Times New Roman" w:cs="Times New Roman"/>
          <w:spacing w:val="9"/>
        </w:rPr>
        <w:t>9 </w:t>
      </w:r>
      <w:r>
        <w:rPr>
          <w:spacing w:val="9"/>
        </w:rPr>
        <w:t>个时，去</w:t>
      </w:r>
    </w:p>
    <w:p>
      <w:pPr>
        <w:spacing w:line="306" w:lineRule="auto"/>
        <w:sectPr>
          <w:footerReference w:type="default" r:id="rId37"/>
          <w:pgSz w:w="11906" w:h="16839"/>
          <w:pgMar w:top="1431" w:right="1489" w:bottom="1157" w:left="1487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6" w:right="172" w:firstLine="7"/>
        <w:spacing w:before="100" w:line="393" w:lineRule="auto"/>
        <w:rPr/>
      </w:pPr>
      <w:r>
        <w:rPr>
          <w:spacing w:val="8"/>
        </w:rPr>
        <w:t>除一个最高价和一个最低价；投标评标价在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个及以上时，</w:t>
      </w:r>
      <w:r>
        <w:rPr>
          <w:spacing w:val="2"/>
        </w:rPr>
        <w:t>去除一个最高、次高价和一个最低、次低价）。</w:t>
      </w:r>
    </w:p>
    <w:p>
      <w:pPr>
        <w:pStyle w:val="BodyText"/>
        <w:ind w:right="97" w:firstLine="635"/>
        <w:spacing w:line="393" w:lineRule="auto"/>
        <w:jc w:val="both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）评标基准价：报价平均值与进入评分范围的投标评</w:t>
      </w:r>
      <w:r>
        <w:rPr>
          <w:spacing w:val="8"/>
        </w:rPr>
        <w:t>标价中的次低投标评标价（不足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4 </w:t>
      </w:r>
      <w:r>
        <w:rPr>
          <w:spacing w:val="8"/>
        </w:rPr>
        <w:t>个的与最低投标评标价）的</w:t>
      </w:r>
      <w:r>
        <w:rPr>
          <w:spacing w:val="8"/>
        </w:rPr>
        <w:t>算术平均值为评标基准价。</w:t>
      </w:r>
    </w:p>
    <w:p>
      <w:pPr>
        <w:ind w:left="636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评标基准价计算方法三（平均价下浮法）</w:t>
      </w:r>
    </w:p>
    <w:p>
      <w:pPr>
        <w:pStyle w:val="BodyText"/>
        <w:ind w:left="16" w:right="97" w:firstLine="619"/>
        <w:spacing w:before="294" w:line="350" w:lineRule="auto"/>
        <w:rPr/>
      </w:pPr>
      <w:r>
        <w:rPr>
          <w:spacing w:val="9"/>
        </w:rPr>
        <w:t>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9"/>
        </w:rPr>
        <w:t>）报价平均值：进入计算范围的所有投标人的评标价</w:t>
      </w:r>
      <w:r>
        <w:rPr>
          <w:spacing w:val="13"/>
        </w:rPr>
        <w:t>的算术平均值为报价平均值（投标评标价在</w:t>
      </w:r>
      <w:r>
        <w:rPr>
          <w:rFonts w:ascii="Times New Roman" w:hAnsi="Times New Roman" w:eastAsia="Times New Roman" w:cs="Times New Roman"/>
          <w:spacing w:val="13"/>
        </w:rPr>
        <w:t>5 </w:t>
      </w:r>
      <w:r>
        <w:rPr>
          <w:spacing w:val="13"/>
        </w:rPr>
        <w:t>个至</w:t>
      </w:r>
      <w:r>
        <w:rPr>
          <w:rFonts w:ascii="Times New Roman" w:hAnsi="Times New Roman" w:eastAsia="Times New Roman" w:cs="Times New Roman"/>
          <w:spacing w:val="13"/>
        </w:rPr>
        <w:t>9 </w:t>
      </w:r>
      <w:r>
        <w:rPr>
          <w:spacing w:val="12"/>
        </w:rPr>
        <w:t>个时，去</w:t>
      </w:r>
      <w:r>
        <w:rPr>
          <w:spacing w:val="12"/>
        </w:rPr>
        <w:t>除一个最高价和一个最低价；投标评标价在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10 </w:t>
      </w:r>
      <w:r>
        <w:rPr>
          <w:spacing w:val="11"/>
        </w:rPr>
        <w:t>个及以上时，</w:t>
      </w:r>
      <w:r>
        <w:rPr>
          <w:spacing w:val="2"/>
        </w:rPr>
        <w:t>去除一个最高、次高价和一个最低、次低价）。</w:t>
      </w:r>
    </w:p>
    <w:p>
      <w:pPr>
        <w:pStyle w:val="BodyText"/>
        <w:ind w:right="95" w:firstLine="635"/>
        <w:spacing w:before="283" w:line="362" w:lineRule="auto"/>
        <w:rPr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2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10"/>
        </w:rPr>
        <w:t>）评标基准价：在开标时，</w:t>
      </w:r>
      <w:r>
        <w:rPr>
          <w:spacing w:val="-82"/>
        </w:rPr>
        <w:t xml:space="preserve"> </w:t>
      </w:r>
      <w:r>
        <w:rPr>
          <w:spacing w:val="10"/>
        </w:rPr>
        <w:t>由招标人代表从一定数值</w:t>
      </w:r>
      <w:r>
        <w:rPr>
          <w:spacing w:val="14"/>
        </w:rPr>
        <w:t>中随机抽取一个值并除以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100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4"/>
        </w:rPr>
        <w:t>生成百分数，作为下浮值</w:t>
      </w:r>
      <w:r>
        <w:rPr>
          <w:spacing w:val="-79"/>
          <w:w w:val="91"/>
        </w:rPr>
        <w:t>；（</w:t>
      </w:r>
      <w:r>
        <w:rPr>
          <w:spacing w:val="14"/>
        </w:rPr>
        <w:t>招</w:t>
      </w:r>
      <w:r>
        <w:rPr>
          <w:spacing w:val="-3"/>
        </w:rPr>
        <w:t>标人在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0.5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1.5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2.5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spacing w:val="-9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…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9.5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个数中，</w:t>
      </w:r>
      <w:r>
        <w:rPr>
          <w:spacing w:val="8"/>
        </w:rPr>
        <w:t>确定一个由其中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 </w:t>
      </w:r>
      <w:r>
        <w:rPr>
          <w:spacing w:val="8"/>
        </w:rPr>
        <w:t>个数组成的等差数列，在编</w:t>
      </w:r>
      <w:r>
        <w:rPr>
          <w:spacing w:val="7"/>
        </w:rPr>
        <w:t>制招标文件时填</w:t>
      </w:r>
      <w:r>
        <w:rPr>
          <w:spacing w:val="-39"/>
        </w:rPr>
        <w:t>入）。</w:t>
      </w:r>
    </w:p>
    <w:p>
      <w:pPr>
        <w:pStyle w:val="BodyText"/>
        <w:ind w:left="3" w:right="94" w:firstLine="639"/>
        <w:spacing w:before="261" w:line="375" w:lineRule="auto"/>
        <w:jc w:val="both"/>
        <w:rPr/>
      </w:pPr>
      <w:r>
        <w:rPr>
          <w:spacing w:val="8"/>
        </w:rPr>
        <w:t>评标时，评标委员会先按上述办法计算出报价平均值，再</w:t>
      </w:r>
      <w:r>
        <w:rPr>
          <w:spacing w:val="6"/>
        </w:rPr>
        <w:t>按以下公式计算出评标基准价：评标基准价</w:t>
      </w:r>
      <w:r>
        <w:rPr>
          <w:rFonts w:ascii="Times New Roman" w:hAnsi="Times New Roman" w:eastAsia="Times New Roman" w:cs="Times New Roman"/>
          <w:spacing w:val="6"/>
        </w:rPr>
        <w:t>=</w:t>
      </w:r>
      <w:r>
        <w:rPr>
          <w:spacing w:val="5"/>
        </w:rPr>
        <w:t>报价平均值</w:t>
      </w:r>
      <w:r>
        <w:rPr>
          <w:rFonts w:ascii="Times New Roman" w:hAnsi="Times New Roman" w:eastAsia="Times New Roman" w:cs="Times New Roman"/>
          <w:spacing w:val="5"/>
        </w:rPr>
        <w:t>×</w:t>
      </w:r>
      <w:r>
        <w:rPr>
          <w:spacing w:val="5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1-</w:t>
      </w:r>
      <w:r>
        <w:rPr>
          <w:spacing w:val="-20"/>
        </w:rPr>
        <w:t>下浮值）。</w:t>
      </w:r>
    </w:p>
    <w:p>
      <w:pPr>
        <w:ind w:left="636"/>
        <w:spacing w:before="92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评标基准价计算方法四（</w:t>
      </w:r>
      <w:r>
        <w:rPr>
          <w:rFonts w:ascii="KaiTi" w:hAnsi="KaiTi" w:eastAsia="KaiTi" w:cs="KaiTi"/>
          <w:sz w:val="31"/>
          <w:szCs w:val="31"/>
          <w:spacing w:val="-55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随机权重平均法）</w:t>
      </w:r>
    </w:p>
    <w:p>
      <w:pPr>
        <w:pStyle w:val="BodyText"/>
        <w:spacing w:before="291" w:line="220" w:lineRule="auto"/>
        <w:jc w:val="right"/>
        <w:rPr/>
      </w:pPr>
      <w:r>
        <w:rPr>
          <w:spacing w:val="-21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1"/>
        </w:rPr>
        <w:t>）开标时，所有投标文件在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0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21"/>
        </w:rPr>
        <w:t>－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1</w:t>
      </w:r>
      <w:r>
        <w:rPr>
          <w:spacing w:val="-21"/>
        </w:rPr>
        <w:t>（</w:t>
      </w:r>
      <w:r>
        <w:rPr>
          <w:rFonts w:ascii="Times New Roman" w:hAnsi="Times New Roman" w:eastAsia="Times New Roman" w:cs="Times New Roman"/>
          <w:spacing w:val="-21"/>
        </w:rPr>
        <w:t>0</w:t>
      </w:r>
      <w:r>
        <w:rPr>
          <w:spacing w:val="-22"/>
        </w:rPr>
        <w:t>、</w:t>
      </w:r>
      <w:r>
        <w:rPr>
          <w:rFonts w:ascii="Times New Roman" w:hAnsi="Times New Roman" w:eastAsia="Times New Roman" w:cs="Times New Roman"/>
          <w:spacing w:val="-22"/>
        </w:rPr>
        <w:t>0.01</w:t>
      </w:r>
      <w:r>
        <w:rPr>
          <w:spacing w:val="-22"/>
        </w:rPr>
        <w:t>、</w:t>
      </w:r>
      <w:r>
        <w:rPr>
          <w:rFonts w:ascii="Times New Roman" w:hAnsi="Times New Roman" w:eastAsia="Times New Roman" w:cs="Times New Roman"/>
          <w:spacing w:val="-22"/>
        </w:rPr>
        <w:t>0.02…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…0.99</w:t>
      </w:r>
      <w:r>
        <w:rPr>
          <w:spacing w:val="-22"/>
        </w:rPr>
        <w:t>、</w:t>
      </w:r>
    </w:p>
    <w:p>
      <w:pPr>
        <w:spacing w:line="220" w:lineRule="auto"/>
        <w:sectPr>
          <w:footerReference w:type="default" r:id="rId38"/>
          <w:pgSz w:w="11906" w:h="16839"/>
          <w:pgMar w:top="1431" w:right="1548" w:bottom="1157" w:left="1653" w:header="0" w:footer="992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101" w:line="222" w:lineRule="auto"/>
        <w:rPr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3"/>
        </w:rPr>
        <w:t>）之间随机抽取一个权重系数。</w:t>
      </w:r>
    </w:p>
    <w:p>
      <w:pPr>
        <w:pStyle w:val="BodyText"/>
        <w:ind w:left="1" w:right="2" w:firstLine="633"/>
        <w:spacing w:before="288" w:line="393" w:lineRule="auto"/>
        <w:jc w:val="both"/>
        <w:rPr/>
      </w:pPr>
      <w:r>
        <w:rPr>
          <w:spacing w:val="13"/>
        </w:rPr>
        <w:t>（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13"/>
        </w:rPr>
        <w:t>）评标基准价：进入计算范围的投标评标价（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C1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13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C2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3"/>
        </w:rPr>
        <w:t>、</w:t>
      </w:r>
      <w:r>
        <w:rPr>
          <w:spacing w:val="-9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…</w:t>
      </w:r>
      <w:r>
        <w:rPr>
          <w:rFonts w:ascii="Times New Roman" w:hAnsi="Times New Roman" w:eastAsia="Times New Roman" w:cs="Times New Roman"/>
        </w:rPr>
        <w:t>Cn</w:t>
      </w:r>
      <w:r>
        <w:rPr>
          <w:spacing w:val="-46"/>
        </w:rPr>
        <w:t>），</w:t>
      </w:r>
      <w:r>
        <w:rPr>
          <w:spacing w:val="3"/>
        </w:rPr>
        <w:t>与对应的权重系数（</w:t>
      </w:r>
      <w:r>
        <w:rPr>
          <w:rFonts w:ascii="Times New Roman" w:hAnsi="Times New Roman" w:eastAsia="Times New Roman" w:cs="Times New Roman"/>
          <w:spacing w:val="3"/>
        </w:rPr>
        <w:t>A1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A2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3"/>
        </w:rPr>
        <w:t>、</w:t>
      </w:r>
      <w:r>
        <w:rPr>
          <w:spacing w:val="-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…</w:t>
      </w:r>
      <w:r>
        <w:rPr>
          <w:rFonts w:ascii="Times New Roman" w:hAnsi="Times New Roman" w:eastAsia="Times New Roman" w:cs="Times New Roman"/>
        </w:rPr>
        <w:t>An</w:t>
      </w:r>
      <w:r>
        <w:rPr>
          <w:spacing w:val="3"/>
        </w:rPr>
        <w:t>）进行加权</w:t>
      </w:r>
      <w:r>
        <w:rPr>
          <w:spacing w:val="8"/>
        </w:rPr>
        <w:t>平均计算得出评标基准价，计算公式：</w:t>
      </w:r>
    </w:p>
    <w:p>
      <w:pPr>
        <w:pStyle w:val="BodyText"/>
        <w:ind w:left="2743"/>
        <w:spacing w:line="231" w:lineRule="auto"/>
        <w:rPr>
          <w:sz w:val="24"/>
          <w:szCs w:val="24"/>
        </w:rPr>
      </w:pPr>
      <w:r>
        <w:rPr>
          <w:sz w:val="24"/>
          <w:szCs w:val="24"/>
          <w:spacing w:val="-11"/>
        </w:rPr>
        <w:t>（C1</w:t>
      </w:r>
      <w:r>
        <w:rPr>
          <w:sz w:val="24"/>
          <w:szCs w:val="24"/>
          <w:spacing w:val="-42"/>
        </w:rPr>
        <w:t xml:space="preserve"> </w:t>
      </w:r>
      <w:r>
        <w:rPr>
          <w:sz w:val="24"/>
          <w:szCs w:val="24"/>
          <w:spacing w:val="-11"/>
        </w:rPr>
        <w:t>×A1）+（C2</w:t>
      </w:r>
      <w:r>
        <w:rPr>
          <w:sz w:val="24"/>
          <w:szCs w:val="24"/>
          <w:spacing w:val="-50"/>
        </w:rPr>
        <w:t xml:space="preserve"> </w:t>
      </w:r>
      <w:r>
        <w:rPr>
          <w:sz w:val="24"/>
          <w:szCs w:val="24"/>
          <w:spacing w:val="-11"/>
        </w:rPr>
        <w:t>×A2）+</w:t>
      </w:r>
      <w:r>
        <w:rPr>
          <w:sz w:val="24"/>
          <w:szCs w:val="24"/>
          <w:spacing w:val="-81"/>
        </w:rPr>
        <w:t xml:space="preserve"> </w:t>
      </w:r>
      <w:r>
        <w:rPr>
          <w:sz w:val="24"/>
          <w:szCs w:val="24"/>
          <w:spacing w:val="-11"/>
        </w:rPr>
        <w:t>…（Cn</w:t>
      </w:r>
      <w:r>
        <w:rPr>
          <w:sz w:val="24"/>
          <w:szCs w:val="24"/>
          <w:spacing w:val="-50"/>
        </w:rPr>
        <w:t xml:space="preserve"> </w:t>
      </w:r>
      <w:r>
        <w:rPr>
          <w:sz w:val="24"/>
          <w:szCs w:val="24"/>
          <w:spacing w:val="-11"/>
        </w:rPr>
        <w:t>×An）</w:t>
      </w:r>
    </w:p>
    <w:p>
      <w:pPr>
        <w:pStyle w:val="BodyText"/>
        <w:ind w:left="1547"/>
        <w:spacing w:before="280" w:line="21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评标基准价=——</w:t>
      </w:r>
      <w:r>
        <w:rPr>
          <w:sz w:val="24"/>
          <w:szCs w:val="24"/>
          <w:spacing w:val="-81"/>
        </w:rPr>
        <w:t xml:space="preserve"> </w:t>
      </w:r>
      <w:r>
        <w:rPr>
          <w:sz w:val="24"/>
          <w:szCs w:val="24"/>
          <w:spacing w:val="-2"/>
        </w:rPr>
        <w:t>———</w:t>
      </w:r>
      <w:r>
        <w:rPr>
          <w:sz w:val="24"/>
          <w:szCs w:val="24"/>
          <w:spacing w:val="-92"/>
        </w:rPr>
        <w:t xml:space="preserve"> </w:t>
      </w:r>
      <w:r>
        <w:rPr>
          <w:sz w:val="24"/>
          <w:szCs w:val="24"/>
          <w:spacing w:val="-2"/>
        </w:rPr>
        <w:t>———</w:t>
      </w:r>
      <w:r>
        <w:rPr>
          <w:sz w:val="24"/>
          <w:szCs w:val="24"/>
          <w:spacing w:val="-92"/>
        </w:rPr>
        <w:t xml:space="preserve"> </w:t>
      </w:r>
      <w:r>
        <w:rPr>
          <w:sz w:val="24"/>
          <w:szCs w:val="24"/>
          <w:spacing w:val="-2"/>
        </w:rPr>
        <w:t>———</w:t>
      </w:r>
      <w:r>
        <w:rPr>
          <w:sz w:val="24"/>
          <w:szCs w:val="24"/>
          <w:spacing w:val="-93"/>
        </w:rPr>
        <w:t xml:space="preserve"> </w:t>
      </w:r>
      <w:r>
        <w:rPr>
          <w:sz w:val="24"/>
          <w:szCs w:val="24"/>
          <w:spacing w:val="-2"/>
        </w:rPr>
        <w:t>——</w:t>
      </w:r>
      <w:r>
        <w:rPr>
          <w:sz w:val="24"/>
          <w:szCs w:val="24"/>
          <w:spacing w:val="-92"/>
        </w:rPr>
        <w:t xml:space="preserve"> </w:t>
      </w:r>
      <w:r>
        <w:rPr>
          <w:sz w:val="24"/>
          <w:szCs w:val="24"/>
          <w:spacing w:val="-2"/>
        </w:rPr>
        <w:t>———</w:t>
      </w:r>
      <w:r>
        <w:rPr>
          <w:sz w:val="24"/>
          <w:szCs w:val="24"/>
          <w:spacing w:val="-92"/>
        </w:rPr>
        <w:t xml:space="preserve"> </w:t>
      </w:r>
      <w:r>
        <w:rPr>
          <w:sz w:val="24"/>
          <w:szCs w:val="24"/>
          <w:spacing w:val="-2"/>
        </w:rPr>
        <w:t>—</w:t>
      </w:r>
    </w:p>
    <w:p>
      <w:pPr>
        <w:pStyle w:val="BodyText"/>
        <w:ind w:left="3227"/>
        <w:spacing w:before="299" w:line="237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A1+A2+</w:t>
      </w:r>
      <w:r>
        <w:rPr>
          <w:sz w:val="24"/>
          <w:szCs w:val="24"/>
          <w:spacing w:val="-77"/>
        </w:rPr>
        <w:t xml:space="preserve"> </w:t>
      </w:r>
      <w:r>
        <w:rPr>
          <w:sz w:val="24"/>
          <w:szCs w:val="24"/>
          <w:spacing w:val="-6"/>
        </w:rPr>
        <w:t>…An</w:t>
      </w:r>
    </w:p>
    <w:p>
      <w:pPr>
        <w:ind w:left="636"/>
        <w:spacing w:before="267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评标基准价计算方法五（基准值合成法）</w:t>
      </w:r>
    </w:p>
    <w:p>
      <w:pPr>
        <w:pStyle w:val="BodyText"/>
        <w:ind w:left="643"/>
        <w:spacing w:before="232" w:line="429" w:lineRule="exact"/>
        <w:rPr/>
      </w:pPr>
      <w:r>
        <w:rPr>
          <w:spacing w:val="-8"/>
          <w:position w:val="2"/>
        </w:rPr>
        <w:t>评标基准价</w:t>
      </w:r>
      <w:r>
        <w:rPr>
          <w:rFonts w:ascii="Times New Roman" w:hAnsi="Times New Roman" w:eastAsia="Times New Roman" w:cs="Times New Roman"/>
          <w:spacing w:val="-8"/>
          <w:position w:val="2"/>
        </w:rPr>
        <w:t>=A×</w:t>
      </w:r>
      <w:r>
        <w:rPr>
          <w:spacing w:val="-8"/>
          <w:position w:val="2"/>
        </w:rPr>
        <w:t>（</w:t>
      </w:r>
      <w:r>
        <w:rPr>
          <w:spacing w:val="-64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2"/>
        </w:rPr>
        <w:t>1-K%</w:t>
      </w:r>
      <w:r>
        <w:rPr>
          <w:spacing w:val="-8"/>
          <w:position w:val="2"/>
        </w:rPr>
        <w:t>）。</w:t>
      </w:r>
    </w:p>
    <w:p>
      <w:pPr>
        <w:pStyle w:val="BodyText"/>
        <w:ind w:left="18" w:firstLine="648"/>
        <w:spacing w:before="288" w:line="376" w:lineRule="auto"/>
        <w:rPr/>
      </w:pPr>
      <w:r>
        <w:rPr>
          <w:spacing w:val="7"/>
        </w:rPr>
        <w:t>式中：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为招标人的最高投标限价（最高投标限价的确定</w:t>
      </w:r>
      <w:r>
        <w:rPr>
          <w:spacing w:val="-2"/>
        </w:rPr>
        <w:t>见投标人须知前附表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3.2.4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项规定）。</w:t>
      </w:r>
    </w:p>
    <w:p>
      <w:pPr>
        <w:pStyle w:val="BodyText"/>
        <w:ind w:right="2" w:firstLine="636"/>
        <w:spacing w:before="8" w:line="398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K=Z.</w:t>
      </w:r>
      <w:r>
        <w:rPr>
          <w:rFonts w:ascii="Times New Roman" w:hAnsi="Times New Roman" w:eastAsia="Times New Roman" w:cs="Times New Roman"/>
        </w:rPr>
        <w:t>XY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Z </w:t>
      </w:r>
      <w:r>
        <w:rPr>
          <w:spacing w:val="3"/>
        </w:rPr>
        <w:t>值为招标人直接确定或在开标会议上抽</w:t>
      </w:r>
      <w:r>
        <w:rPr>
          <w:spacing w:val="2"/>
        </w:rPr>
        <w:t>取（房</w:t>
      </w:r>
      <w:r>
        <w:rPr>
          <w:spacing w:val="7"/>
        </w:rPr>
        <w:t>屋建筑项目从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6-12</w:t>
      </w:r>
      <w:r>
        <w:rPr>
          <w:spacing w:val="7"/>
        </w:rPr>
        <w:t>（整数）中确定或抽</w:t>
      </w:r>
      <w:r>
        <w:rPr>
          <w:spacing w:val="6"/>
        </w:rPr>
        <w:t>取，市政基础设施和园</w:t>
      </w:r>
      <w:r>
        <w:rPr>
          <w:spacing w:val="8"/>
        </w:rPr>
        <w:t>林绿化项目从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10-18</w:t>
      </w:r>
      <w:r>
        <w:rPr>
          <w:spacing w:val="8"/>
        </w:rPr>
        <w:t>（整数）</w:t>
      </w:r>
      <w:r>
        <w:rPr>
          <w:spacing w:val="-86"/>
        </w:rPr>
        <w:t xml:space="preserve"> </w:t>
      </w:r>
      <w:r>
        <w:rPr>
          <w:spacing w:val="8"/>
        </w:rPr>
        <w:t>中确定或抽取，机电安装项目从</w:t>
      </w:r>
      <w:r>
        <w:rPr>
          <w:rFonts w:ascii="Times New Roman" w:hAnsi="Times New Roman" w:eastAsia="Times New Roman" w:cs="Times New Roman"/>
          <w:spacing w:val="7"/>
        </w:rPr>
        <w:t>8-15</w:t>
      </w:r>
      <w:r>
        <w:rPr>
          <w:spacing w:val="7"/>
        </w:rPr>
        <w:t>（整数）中确定或抽取</w:t>
      </w:r>
      <w:r>
        <w:rPr>
          <w:spacing w:val="-62"/>
        </w:rPr>
        <w:t>）；</w:t>
      </w:r>
      <w:r>
        <w:rPr>
          <w:rFonts w:ascii="Times New Roman" w:hAnsi="Times New Roman" w:eastAsia="Times New Roman" w:cs="Times New Roman"/>
          <w:spacing w:val="7"/>
        </w:rPr>
        <w:t>X </w:t>
      </w:r>
      <w:r>
        <w:rPr>
          <w:spacing w:val="7"/>
        </w:rPr>
        <w:t>值在开标会</w:t>
      </w:r>
      <w:r>
        <w:rPr>
          <w:spacing w:val="6"/>
        </w:rPr>
        <w:t>议上从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0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6"/>
        </w:rPr>
        <w:t>～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spacing w:val="6"/>
        </w:rPr>
        <w:t>（整</w:t>
      </w:r>
      <w:r>
        <w:rPr>
          <w:spacing w:val="6"/>
        </w:rPr>
        <w:t>数）十个数中随机抽取，</w:t>
      </w:r>
      <w:r>
        <w:rPr>
          <w:spacing w:val="-80"/>
        </w:rPr>
        <w:t xml:space="preserve"> </w:t>
      </w:r>
      <w:r>
        <w:rPr>
          <w:spacing w:val="6"/>
        </w:rPr>
        <w:t>以抽取值为准；</w:t>
      </w:r>
      <w:r>
        <w:rPr>
          <w:rFonts w:ascii="Times New Roman" w:hAnsi="Times New Roman" w:eastAsia="Times New Roman" w:cs="Times New Roman"/>
          <w:spacing w:val="6"/>
        </w:rPr>
        <w:t>Y </w:t>
      </w:r>
      <w:r>
        <w:rPr>
          <w:spacing w:val="6"/>
        </w:rPr>
        <w:t>值在开标会议上从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1"/>
        </w:rPr>
        <w:t>～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</w:t>
      </w:r>
      <w:r>
        <w:rPr>
          <w:spacing w:val="1"/>
        </w:rPr>
        <w:t>（整数）十个数数字中随机抽取，</w:t>
      </w:r>
      <w:r>
        <w:rPr>
          <w:spacing w:val="-85"/>
        </w:rPr>
        <w:t xml:space="preserve"> </w:t>
      </w:r>
      <w:r>
        <w:rPr>
          <w:spacing w:val="1"/>
        </w:rPr>
        <w:t>以抽取值为准。</w:t>
      </w:r>
    </w:p>
    <w:p>
      <w:pPr>
        <w:ind w:left="662"/>
        <w:spacing w:before="1" w:line="227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四、技术标部分</w:t>
      </w:r>
    </w:p>
    <w:p>
      <w:pPr>
        <w:pStyle w:val="BodyText"/>
        <w:ind w:left="5" w:right="45" w:firstLine="642"/>
        <w:spacing w:before="279" w:line="394" w:lineRule="auto"/>
        <w:rPr/>
      </w:pPr>
      <w:r>
        <w:rPr>
          <w:spacing w:val="8"/>
        </w:rPr>
        <w:t>技术复杂项目，技术标评分</w:t>
      </w:r>
      <w:r>
        <w:rPr>
          <w:rFonts w:ascii="Times New Roman" w:hAnsi="Times New Roman" w:eastAsia="Times New Roman" w:cs="Times New Roman"/>
          <w:spacing w:val="8"/>
        </w:rPr>
        <w:t>≤30 </w:t>
      </w:r>
      <w:r>
        <w:rPr>
          <w:spacing w:val="8"/>
        </w:rPr>
        <w:t>分；非技术复杂项目，技</w:t>
      </w:r>
      <w:r>
        <w:rPr>
          <w:spacing w:val="5"/>
        </w:rPr>
        <w:t>术标评分</w:t>
      </w:r>
      <w:r>
        <w:rPr>
          <w:rFonts w:ascii="Times New Roman" w:hAnsi="Times New Roman" w:eastAsia="Times New Roman" w:cs="Times New Roman"/>
          <w:spacing w:val="5"/>
        </w:rPr>
        <w:t>≤20 </w:t>
      </w:r>
      <w:r>
        <w:rPr>
          <w:spacing w:val="5"/>
        </w:rPr>
        <w:t>分。</w:t>
      </w:r>
    </w:p>
    <w:p>
      <w:pPr>
        <w:spacing w:line="394" w:lineRule="auto"/>
        <w:sectPr>
          <w:footerReference w:type="default" r:id="rId39"/>
          <w:pgSz w:w="11906" w:h="16839"/>
          <w:pgMar w:top="1431" w:right="1643" w:bottom="1157" w:left="1653" w:header="0" w:footer="992" w:gutter="0"/>
        </w:sectPr>
        <w:rPr/>
      </w:pP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266" w:right="363" w:firstLine="675"/>
        <w:spacing w:before="101" w:line="391" w:lineRule="auto"/>
        <w:jc w:val="both"/>
        <w:rPr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8"/>
        </w:rPr>
        <w:t>由评标委员会各成员或技术专家按评审因素和评分</w:t>
      </w:r>
      <w:r>
        <w:rPr>
          <w:spacing w:val="7"/>
        </w:rPr>
        <w:t>标准</w:t>
      </w:r>
      <w:r>
        <w:rPr>
          <w:spacing w:val="11"/>
        </w:rPr>
        <w:t>进行独立评分（保留</w:t>
      </w:r>
      <w:r>
        <w:rPr>
          <w:rFonts w:ascii="Times New Roman" w:hAnsi="Times New Roman" w:eastAsia="Times New Roman" w:cs="Times New Roman"/>
          <w:spacing w:val="11"/>
        </w:rPr>
        <w:t>2 </w:t>
      </w:r>
      <w:r>
        <w:rPr>
          <w:spacing w:val="11"/>
        </w:rPr>
        <w:t>位小数）并署名。单项评分最大范围在</w:t>
      </w: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5"/>
        </w:rPr>
        <w:t>分（</w:t>
      </w:r>
      <w:r>
        <w:rPr>
          <w:rFonts w:ascii="Times New Roman" w:hAnsi="Times New Roman" w:eastAsia="Times New Roman" w:cs="Times New Roman"/>
          <w:spacing w:val="5"/>
        </w:rPr>
        <w:t>A=B×</w:t>
      </w:r>
      <w:r>
        <w:rPr>
          <w:spacing w:val="5"/>
        </w:rPr>
        <w:t>比值）至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B  </w:t>
      </w:r>
      <w:r>
        <w:rPr>
          <w:spacing w:val="5"/>
        </w:rPr>
        <w:t>分（</w:t>
      </w:r>
      <w:r>
        <w:rPr>
          <w:rFonts w:ascii="Times New Roman" w:hAnsi="Times New Roman" w:eastAsia="Times New Roman" w:cs="Times New Roman"/>
          <w:spacing w:val="5"/>
        </w:rPr>
        <w:t>B=</w:t>
      </w:r>
      <w:r>
        <w:rPr>
          <w:spacing w:val="5"/>
        </w:rPr>
        <w:t>技术分满分</w:t>
      </w:r>
      <w:r>
        <w:rPr>
          <w:rFonts w:ascii="Times New Roman" w:hAnsi="Times New Roman" w:eastAsia="Times New Roman" w:cs="Times New Roman"/>
          <w:spacing w:val="5"/>
        </w:rPr>
        <w:t>×</w:t>
      </w:r>
      <w:r>
        <w:rPr>
          <w:spacing w:val="5"/>
        </w:rPr>
        <w:t>分值权重）之间</w:t>
      </w:r>
      <w:r>
        <w:rPr>
          <w:spacing w:val="10"/>
        </w:rPr>
        <w:t>（含本数</w:t>
      </w:r>
      <w:r>
        <w:rPr>
          <w:spacing w:val="-44"/>
        </w:rPr>
        <w:t>）；</w:t>
      </w:r>
      <w:r>
        <w:rPr>
          <w:spacing w:val="10"/>
        </w:rPr>
        <w:t>对低于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A  </w:t>
      </w:r>
      <w:r>
        <w:rPr>
          <w:spacing w:val="10"/>
        </w:rPr>
        <w:t>分或高于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B  </w:t>
      </w:r>
      <w:r>
        <w:rPr>
          <w:spacing w:val="10"/>
        </w:rPr>
        <w:t>分的评分表作无效处理。</w:t>
      </w:r>
      <w:r>
        <w:rPr>
          <w:spacing w:val="1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A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1"/>
        </w:rPr>
        <w:t>、</w:t>
      </w:r>
      <w:r>
        <w:rPr>
          <w:rFonts w:ascii="Times New Roman" w:hAnsi="Times New Roman" w:eastAsia="Times New Roman" w:cs="Times New Roman"/>
          <w:spacing w:val="11"/>
        </w:rPr>
        <w:t>B </w:t>
      </w:r>
      <w:r>
        <w:rPr>
          <w:spacing w:val="11"/>
        </w:rPr>
        <w:t>值由招标人按下表规定确定，其中</w:t>
      </w:r>
      <w:r>
        <w:rPr>
          <w:rFonts w:ascii="Times New Roman" w:hAnsi="Times New Roman" w:eastAsia="Times New Roman" w:cs="Times New Roman"/>
          <w:spacing w:val="11"/>
        </w:rPr>
        <w:t>A </w:t>
      </w:r>
      <w:r>
        <w:rPr>
          <w:spacing w:val="11"/>
        </w:rPr>
        <w:t>值与</w:t>
      </w:r>
      <w:r>
        <w:rPr>
          <w:rFonts w:ascii="Times New Roman" w:hAnsi="Times New Roman" w:eastAsia="Times New Roman" w:cs="Times New Roman"/>
          <w:spacing w:val="11"/>
        </w:rPr>
        <w:t>B </w:t>
      </w:r>
      <w:r>
        <w:rPr>
          <w:spacing w:val="11"/>
        </w:rPr>
        <w:t>值的比值</w:t>
      </w:r>
      <w:r>
        <w:rPr>
          <w:spacing w:val="9"/>
        </w:rPr>
        <w:t>详见技术评审因素表，所有技术标评分项的</w:t>
      </w:r>
      <w:r>
        <w:rPr>
          <w:rFonts w:ascii="Times New Roman" w:hAnsi="Times New Roman" w:eastAsia="Times New Roman" w:cs="Times New Roman"/>
          <w:spacing w:val="9"/>
        </w:rPr>
        <w:t>B </w:t>
      </w:r>
      <w:r>
        <w:rPr>
          <w:spacing w:val="9"/>
        </w:rPr>
        <w:t>值之和等于技术</w:t>
      </w:r>
      <w:r>
        <w:rPr>
          <w:spacing w:val="7"/>
        </w:rPr>
        <w:t>标分值）</w:t>
      </w:r>
    </w:p>
    <w:p>
      <w:pPr>
        <w:pStyle w:val="BodyText"/>
        <w:ind w:left="279" w:right="455" w:firstLine="655"/>
        <w:spacing w:before="28" w:line="393" w:lineRule="auto"/>
        <w:jc w:val="both"/>
        <w:rPr/>
      </w:pPr>
      <w:r>
        <w:rPr>
          <w:spacing w:val="6"/>
        </w:rPr>
        <w:t>此项评分为：评标专家的有效评分大于等于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 </w:t>
      </w:r>
      <w:r>
        <w:rPr>
          <w:spacing w:val="6"/>
        </w:rPr>
        <w:t>个的，扣除</w:t>
      </w:r>
      <w:r>
        <w:rPr>
          <w:spacing w:val="8"/>
        </w:rPr>
        <w:t>一个最高总分和一个最低总分后的算术平均值，有效评分少于</w:t>
      </w:r>
      <w:r>
        <w:rPr>
          <w:rFonts w:ascii="Times New Roman" w:hAnsi="Times New Roman" w:eastAsia="Times New Roman" w:cs="Times New Roman"/>
          <w:spacing w:val="3"/>
        </w:rPr>
        <w:t>5 </w:t>
      </w:r>
      <w:r>
        <w:rPr>
          <w:spacing w:val="3"/>
        </w:rPr>
        <w:t>个的，按全部有效评分的算术平均值（保留小数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位）。</w:t>
      </w:r>
    </w:p>
    <w:p>
      <w:pPr>
        <w:pStyle w:val="BodyText"/>
        <w:ind w:left="205" w:right="452" w:firstLine="705"/>
        <w:spacing w:before="1" w:line="383" w:lineRule="auto"/>
        <w:jc w:val="both"/>
        <w:rPr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技术评审主要因素包括以下内容（技术标打分条款由招</w:t>
      </w:r>
      <w:r>
        <w:rPr>
          <w:spacing w:val="11"/>
        </w:rPr>
        <w:t>标人根据项目实际情况进行设置，评审因素内容不得改动，除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投标人陈述和答辩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及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其他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外原则上</w:t>
      </w:r>
      <w:r>
        <w:rPr>
          <w:spacing w:val="13"/>
        </w:rPr>
        <w:t>不得删除，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其他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可根</w:t>
      </w:r>
      <w:r>
        <w:rPr>
          <w:spacing w:val="4"/>
        </w:rPr>
        <w:t>据实际情况填入具体评审因素）。</w:t>
      </w:r>
    </w:p>
    <w:p>
      <w:pPr>
        <w:ind w:left="3462"/>
        <w:spacing w:before="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技术评审因素表</w:t>
      </w:r>
    </w:p>
    <w:p>
      <w:pPr>
        <w:spacing w:line="13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91"/>
        <w:gridCol w:w="1125"/>
        <w:gridCol w:w="4984"/>
        <w:gridCol w:w="1629"/>
      </w:tblGrid>
      <w:tr>
        <w:trPr>
          <w:trHeight w:val="1128" w:hRule="atLeast"/>
        </w:trPr>
        <w:tc>
          <w:tcPr>
            <w:tcW w:w="1591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516"/>
              <w:spacing w:before="98" w:line="219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主项</w:t>
            </w:r>
          </w:p>
        </w:tc>
        <w:tc>
          <w:tcPr>
            <w:tcW w:w="1125" w:type="dxa"/>
            <w:vAlign w:val="top"/>
          </w:tcPr>
          <w:p>
            <w:pPr>
              <w:ind w:left="431" w:right="112" w:hanging="310"/>
              <w:spacing w:before="194" w:line="28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分值权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重</w:t>
            </w:r>
          </w:p>
        </w:tc>
        <w:tc>
          <w:tcPr>
            <w:tcW w:w="498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2243"/>
              <w:spacing w:before="9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8"/>
              </w:rPr>
              <w:t>内容</w:t>
            </w:r>
          </w:p>
        </w:tc>
        <w:tc>
          <w:tcPr>
            <w:tcW w:w="1629" w:type="dxa"/>
            <w:vAlign w:val="top"/>
          </w:tcPr>
          <w:p>
            <w:pPr>
              <w:ind w:left="568"/>
              <w:spacing w:before="196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9"/>
              </w:rPr>
              <w:t>比值</w:t>
            </w:r>
          </w:p>
        </w:tc>
      </w:tr>
      <w:tr>
        <w:trPr>
          <w:trHeight w:val="691" w:hRule="atLeast"/>
        </w:trPr>
        <w:tc>
          <w:tcPr>
            <w:tcW w:w="1591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20" w:right="278" w:firstLine="18"/>
              <w:spacing w:before="97" w:line="38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总体项目</w:t>
            </w: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管理方案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87" w:line="188" w:lineRule="auto"/>
              <w:rPr/>
            </w:pPr>
            <w:r>
              <w:rPr>
                <w:b/>
                <w:bCs/>
                <w:spacing w:val="-1"/>
              </w:rPr>
              <w:t>≤</w:t>
            </w:r>
            <w:r>
              <w:rPr>
                <w:spacing w:val="-1"/>
              </w:rPr>
              <w:t>10%</w:t>
            </w:r>
          </w:p>
        </w:tc>
        <w:tc>
          <w:tcPr>
            <w:tcW w:w="4984" w:type="dxa"/>
            <w:vAlign w:val="top"/>
          </w:tcPr>
          <w:p>
            <w:pPr>
              <w:ind w:left="118"/>
              <w:spacing w:before="259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项目目标分解、项目情况分析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58"/>
              <w:spacing w:before="307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  <w:tr>
        <w:trPr>
          <w:trHeight w:val="1685" w:hRule="atLeast"/>
        </w:trPr>
        <w:tc>
          <w:tcPr>
            <w:tcW w:w="1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ind w:left="108" w:right="104" w:firstLine="10"/>
              <w:spacing w:before="197" w:line="303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项目概述，工程总承包项目管理，具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体包括专项管理、综合集成、采购和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试运行等</w:t>
            </w:r>
          </w:p>
        </w:tc>
        <w:tc>
          <w:tcPr>
            <w:tcW w:w="162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6" w:h="16839"/>
          <w:pgMar w:top="1431" w:right="1191" w:bottom="1157" w:left="1380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3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91"/>
        <w:gridCol w:w="1125"/>
        <w:gridCol w:w="4984"/>
        <w:gridCol w:w="1629"/>
      </w:tblGrid>
      <w:tr>
        <w:trPr>
          <w:trHeight w:val="1382" w:hRule="atLeast"/>
        </w:trPr>
        <w:tc>
          <w:tcPr>
            <w:tcW w:w="1591" w:type="dxa"/>
            <w:vAlign w:val="top"/>
          </w:tcPr>
          <w:p>
            <w:pPr>
              <w:ind w:left="200" w:right="194" w:firstLine="6"/>
              <w:spacing w:before="322" w:line="32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投标人陈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述和答辩</w:t>
            </w:r>
          </w:p>
        </w:tc>
        <w:tc>
          <w:tcPr>
            <w:tcW w:w="11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86" w:line="188" w:lineRule="auto"/>
              <w:rPr/>
            </w:pPr>
            <w:r>
              <w:rPr>
                <w:b/>
                <w:bCs/>
              </w:rPr>
              <w:t>≤</w:t>
            </w:r>
            <w:r>
              <w:rPr/>
              <w:t>10%</w:t>
            </w:r>
          </w:p>
        </w:tc>
        <w:tc>
          <w:tcPr>
            <w:tcW w:w="498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97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8"/>
              </w:rPr>
              <w:t>（若有）</w:t>
            </w:r>
          </w:p>
        </w:tc>
        <w:tc>
          <w:tcPr>
            <w:tcW w:w="16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7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1684" w:hRule="atLeast"/>
        </w:trPr>
        <w:tc>
          <w:tcPr>
            <w:tcW w:w="1591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03" w:right="194"/>
              <w:spacing w:before="97" w:line="34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设计方案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评审因素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86" w:line="188" w:lineRule="auto"/>
              <w:rPr/>
            </w:pPr>
            <w:r>
              <w:rPr>
                <w:b/>
                <w:bCs/>
                <w:spacing w:val="-1"/>
              </w:rPr>
              <w:t>≤</w:t>
            </w:r>
            <w:r>
              <w:rPr>
                <w:spacing w:val="-1"/>
              </w:rPr>
              <w:t>45%</w:t>
            </w:r>
          </w:p>
        </w:tc>
        <w:tc>
          <w:tcPr>
            <w:tcW w:w="4984" w:type="dxa"/>
            <w:vAlign w:val="top"/>
          </w:tcPr>
          <w:p>
            <w:pPr>
              <w:ind w:left="108" w:right="104" w:firstLine="11"/>
              <w:spacing w:before="192" w:line="304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方案设计（或初步设计）的优化，具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体包括主要设计思路、设计创新、先</w:t>
            </w: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进技术应用、节能环保等</w:t>
            </w:r>
          </w:p>
        </w:tc>
        <w:tc>
          <w:tcPr>
            <w:tcW w:w="162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7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2244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ind w:left="117" w:right="104" w:firstLine="4"/>
              <w:spacing w:before="193" w:line="314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工程经济的合理性分析、评价（投资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估算是否与设计方案匹配、是否结合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现场建设条件，各项指标取值是否合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理、是否满足相关规范要求等）</w:t>
            </w:r>
          </w:p>
        </w:tc>
        <w:tc>
          <w:tcPr>
            <w:tcW w:w="162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1124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ind w:left="127" w:right="104" w:hanging="12"/>
              <w:spacing w:before="197" w:line="28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17"/>
              </w:rPr>
              <w:t>设计管理机构的构成和设计力量的</w:t>
            </w: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配备</w:t>
            </w:r>
          </w:p>
        </w:tc>
        <w:tc>
          <w:tcPr>
            <w:tcW w:w="162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1125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ind w:left="118" w:right="104" w:hanging="3"/>
              <w:spacing w:before="198" w:line="28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17"/>
              </w:rPr>
              <w:t>设计组织方案及各阶段计划进度安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排</w:t>
            </w:r>
          </w:p>
        </w:tc>
        <w:tc>
          <w:tcPr>
            <w:tcW w:w="162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7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565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ind w:left="116"/>
              <w:spacing w:before="196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施工图设计质量控制措施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58"/>
              <w:spacing w:before="246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1684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pStyle w:val="TableText"/>
              <w:ind w:left="125" w:right="104" w:hanging="5"/>
              <w:spacing w:before="196" w:line="345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3"/>
              </w:rPr>
              <w:t>新型技术应用服务措施（如建筑工业</w:t>
            </w:r>
            <w:r>
              <w:rPr>
                <w:rFonts w:ascii="FangSong" w:hAnsi="FangSong" w:eastAsia="FangSong" w:cs="FangSong"/>
                <w:spacing w:val="-6"/>
              </w:rPr>
              <w:t>化、</w:t>
            </w:r>
            <w:r>
              <w:rPr>
                <w:spacing w:val="-6"/>
              </w:rPr>
              <w:t>BIM </w:t>
            </w:r>
            <w:r>
              <w:rPr>
                <w:rFonts w:ascii="FangSong" w:hAnsi="FangSong" w:eastAsia="FangSong" w:cs="FangSong"/>
                <w:spacing w:val="-6"/>
              </w:rPr>
              <w:t>技术、绿色建筑、海绵城市</w:t>
            </w:r>
          </w:p>
          <w:p>
            <w:pPr>
              <w:ind w:left="122"/>
              <w:spacing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应用等）</w:t>
            </w:r>
          </w:p>
        </w:tc>
        <w:tc>
          <w:tcPr>
            <w:tcW w:w="162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565" w:hRule="atLeast"/>
        </w:trPr>
        <w:tc>
          <w:tcPr>
            <w:tcW w:w="1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ind w:left="115"/>
              <w:spacing w:before="198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其他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58"/>
              <w:spacing w:before="248" w:line="188" w:lineRule="auto"/>
              <w:rPr/>
            </w:pPr>
            <w:r>
              <w:rPr>
                <w:spacing w:val="-1"/>
              </w:rPr>
              <w:t>≥60%</w:t>
            </w:r>
          </w:p>
        </w:tc>
      </w:tr>
      <w:tr>
        <w:trPr>
          <w:trHeight w:val="1125" w:hRule="atLeast"/>
        </w:trPr>
        <w:tc>
          <w:tcPr>
            <w:tcW w:w="1591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8"/>
              <w:spacing w:before="97" w:line="34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39"/>
              </w:rPr>
              <w:t>采购方案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评审因素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86" w:line="188" w:lineRule="auto"/>
              <w:rPr/>
            </w:pPr>
            <w:r>
              <w:rPr>
                <w:b/>
                <w:bCs/>
              </w:rPr>
              <w:t>≤</w:t>
            </w:r>
            <w:r>
              <w:rPr/>
              <w:t>15%</w:t>
            </w:r>
          </w:p>
        </w:tc>
        <w:tc>
          <w:tcPr>
            <w:tcW w:w="4984" w:type="dxa"/>
            <w:vAlign w:val="top"/>
          </w:tcPr>
          <w:p>
            <w:pPr>
              <w:ind w:left="124" w:right="104" w:hanging="9"/>
              <w:spacing w:before="198" w:line="28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设备采购、分包工作的总体安排与资</w:t>
            </w:r>
            <w:r>
              <w:rPr>
                <w:rFonts w:ascii="FangSong" w:hAnsi="FangSong" w:eastAsia="FangSong" w:cs="FangSong"/>
                <w:sz w:val="30"/>
                <w:szCs w:val="30"/>
                <w:spacing w:val="-8"/>
              </w:rPr>
              <w:t>源配置</w:t>
            </w:r>
          </w:p>
        </w:tc>
        <w:tc>
          <w:tcPr>
            <w:tcW w:w="162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7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633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ind w:left="115"/>
              <w:spacing w:before="233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"/>
              </w:rPr>
              <w:t>设备采购进度、质量控制措施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58"/>
              <w:spacing w:before="281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1127" w:hRule="atLeast"/>
        </w:trPr>
        <w:tc>
          <w:tcPr>
            <w:tcW w:w="1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</w:tcPr>
          <w:p>
            <w:pPr>
              <w:ind w:left="115" w:right="104" w:firstLine="2"/>
              <w:spacing w:before="197" w:line="28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分包商进度、质量和安全文明的管理</w:t>
            </w:r>
            <w:r>
              <w:rPr>
                <w:rFonts w:ascii="FangSong" w:hAnsi="FangSong" w:eastAsia="FangSong" w:cs="FangSong"/>
                <w:sz w:val="30"/>
                <w:szCs w:val="30"/>
                <w:spacing w:val="-2"/>
              </w:rPr>
              <w:t>措施及违约处理</w:t>
            </w:r>
          </w:p>
        </w:tc>
        <w:tc>
          <w:tcPr>
            <w:tcW w:w="162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6" w:h="16839"/>
          <w:pgMar w:top="1431" w:right="1191" w:bottom="1157" w:left="1380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3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91"/>
        <w:gridCol w:w="1125"/>
        <w:gridCol w:w="2498"/>
        <w:gridCol w:w="2486"/>
        <w:gridCol w:w="1629"/>
      </w:tblGrid>
      <w:tr>
        <w:trPr>
          <w:trHeight w:val="638" w:hRule="atLeast"/>
        </w:trPr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84" w:type="dxa"/>
            <w:vAlign w:val="top"/>
            <w:gridSpan w:val="2"/>
          </w:tcPr>
          <w:p>
            <w:pPr>
              <w:ind w:left="115"/>
              <w:spacing w:before="232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其他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58"/>
              <w:spacing w:before="282" w:line="188" w:lineRule="auto"/>
              <w:rPr/>
            </w:pPr>
            <w:r>
              <w:rPr>
                <w:spacing w:val="-1"/>
              </w:rPr>
              <w:t>≥70%</w:t>
            </w:r>
          </w:p>
        </w:tc>
      </w:tr>
      <w:tr>
        <w:trPr>
          <w:trHeight w:val="1124" w:hRule="atLeast"/>
        </w:trPr>
        <w:tc>
          <w:tcPr>
            <w:tcW w:w="1591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8" w:firstLine="1"/>
              <w:spacing w:before="97" w:line="34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39"/>
              </w:rPr>
              <w:t>施工方案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评审因素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86" w:line="188" w:lineRule="auto"/>
              <w:rPr/>
            </w:pPr>
            <w:r>
              <w:rPr>
                <w:b/>
                <w:bCs/>
              </w:rPr>
              <w:t>≤</w:t>
            </w:r>
            <w:r>
              <w:rPr/>
              <w:t>35%</w:t>
            </w:r>
          </w:p>
        </w:tc>
        <w:tc>
          <w:tcPr>
            <w:tcW w:w="2498" w:type="dxa"/>
            <w:vAlign w:val="top"/>
          </w:tcPr>
          <w:p>
            <w:pPr>
              <w:ind w:left="120" w:right="104" w:hanging="2"/>
              <w:spacing w:before="194" w:line="28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10"/>
              </w:rPr>
              <w:t>项</w:t>
            </w:r>
            <w:r>
              <w:rPr>
                <w:rFonts w:ascii="FangSong" w:hAnsi="FangSong" w:eastAsia="FangSong" w:cs="FangSong"/>
                <w:sz w:val="30"/>
                <w:szCs w:val="30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10"/>
              </w:rPr>
              <w:t>目重点难点分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析</w:t>
            </w:r>
          </w:p>
        </w:tc>
        <w:tc>
          <w:tcPr>
            <w:tcW w:w="2486" w:type="dxa"/>
            <w:vAlign w:val="top"/>
          </w:tcPr>
          <w:p>
            <w:pPr>
              <w:ind w:left="123" w:right="104" w:hanging="2"/>
              <w:spacing w:before="194" w:line="28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8"/>
              </w:rPr>
              <w:t>项</w:t>
            </w:r>
            <w:r>
              <w:rPr>
                <w:rFonts w:ascii="FangSong" w:hAnsi="FangSong" w:eastAsia="FangSong" w:cs="FangSong"/>
                <w:sz w:val="30"/>
                <w:szCs w:val="30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8"/>
              </w:rPr>
              <w:t>目重点难点分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析及合理化建议</w:t>
            </w:r>
          </w:p>
        </w:tc>
        <w:tc>
          <w:tcPr>
            <w:tcW w:w="162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  <w:tr>
        <w:trPr>
          <w:trHeight w:val="1124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8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97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4"/>
              </w:rPr>
              <w:t>工程施工管理</w:t>
            </w:r>
          </w:p>
        </w:tc>
        <w:tc>
          <w:tcPr>
            <w:tcW w:w="2486" w:type="dxa"/>
            <w:vAlign w:val="top"/>
          </w:tcPr>
          <w:p>
            <w:pPr>
              <w:ind w:left="127" w:right="104" w:hanging="2"/>
              <w:spacing w:before="191" w:line="284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21"/>
              </w:rPr>
              <w:t>工程施工进度控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制和管理</w:t>
            </w:r>
          </w:p>
        </w:tc>
        <w:tc>
          <w:tcPr>
            <w:tcW w:w="162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  <w:tr>
        <w:trPr>
          <w:trHeight w:val="1124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ind w:left="121" w:right="104" w:firstLine="3"/>
              <w:spacing w:before="194" w:line="28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21"/>
              </w:rPr>
              <w:t>工程施工质量管</w:t>
            </w:r>
            <w:r>
              <w:rPr>
                <w:rFonts w:ascii="FangSong" w:hAnsi="FangSong" w:eastAsia="FangSong" w:cs="FangSong"/>
                <w:sz w:val="30"/>
                <w:szCs w:val="30"/>
              </w:rPr>
              <w:t>理</w:t>
            </w:r>
          </w:p>
        </w:tc>
        <w:tc>
          <w:tcPr>
            <w:tcW w:w="162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  <w:tr>
        <w:trPr>
          <w:trHeight w:val="1124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ind w:left="145" w:right="104" w:hanging="20"/>
              <w:spacing w:before="194" w:line="28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21"/>
              </w:rPr>
              <w:t>工程施工安全文</w:t>
            </w:r>
            <w:r>
              <w:rPr>
                <w:rFonts w:ascii="FangSong" w:hAnsi="FangSong" w:eastAsia="FangSong" w:cs="FangSong"/>
                <w:sz w:val="30"/>
                <w:szCs w:val="30"/>
                <w:spacing w:val="-14"/>
              </w:rPr>
              <w:t>明管理</w:t>
            </w:r>
          </w:p>
        </w:tc>
        <w:tc>
          <w:tcPr>
            <w:tcW w:w="162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  <w:tr>
        <w:trPr>
          <w:trHeight w:val="1124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6" w:type="dxa"/>
            <w:vAlign w:val="top"/>
          </w:tcPr>
          <w:p>
            <w:pPr>
              <w:ind w:left="118" w:right="104" w:firstLine="12"/>
              <w:spacing w:before="197" w:line="282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20"/>
              </w:rPr>
              <w:t>关键技术方案可</w:t>
            </w: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行性</w:t>
            </w:r>
          </w:p>
        </w:tc>
        <w:tc>
          <w:tcPr>
            <w:tcW w:w="162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7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  <w:tr>
        <w:trPr>
          <w:trHeight w:val="1684" w:hRule="atLeast"/>
        </w:trPr>
        <w:tc>
          <w:tcPr>
            <w:tcW w:w="1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29"/>
              <w:spacing w:before="9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5"/>
              </w:rPr>
              <w:t>外部协调管理</w:t>
            </w:r>
          </w:p>
        </w:tc>
        <w:tc>
          <w:tcPr>
            <w:tcW w:w="2486" w:type="dxa"/>
            <w:vAlign w:val="top"/>
          </w:tcPr>
          <w:p>
            <w:pPr>
              <w:ind w:left="121" w:right="104" w:firstLine="10"/>
              <w:spacing w:before="196" w:line="303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0"/>
              </w:rPr>
              <w:t>外部协调管理，验</w:t>
            </w:r>
            <w:r>
              <w:rPr>
                <w:rFonts w:ascii="FangSong" w:hAnsi="FangSong" w:eastAsia="FangSong" w:cs="FangSong"/>
                <w:sz w:val="30"/>
                <w:szCs w:val="30"/>
                <w:spacing w:val="-19"/>
              </w:rPr>
              <w:t>收、结算、移交的</w:t>
            </w:r>
            <w:r>
              <w:rPr>
                <w:rFonts w:ascii="FangSong" w:hAnsi="FangSong" w:eastAsia="FangSong" w:cs="FangSong"/>
                <w:sz w:val="30"/>
                <w:szCs w:val="30"/>
                <w:spacing w:val="-3"/>
              </w:rPr>
              <w:t>合理组织和配合</w:t>
            </w:r>
          </w:p>
        </w:tc>
        <w:tc>
          <w:tcPr>
            <w:tcW w:w="162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86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  <w:tr>
        <w:trPr>
          <w:trHeight w:val="613" w:hRule="atLeast"/>
        </w:trPr>
        <w:tc>
          <w:tcPr>
            <w:tcW w:w="1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8" w:type="dxa"/>
            <w:vAlign w:val="top"/>
          </w:tcPr>
          <w:p>
            <w:pPr>
              <w:ind w:left="115"/>
              <w:spacing w:before="223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其他</w:t>
            </w:r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58"/>
              <w:spacing w:before="273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  <w:tr>
        <w:trPr>
          <w:trHeight w:val="570" w:hRule="atLeast"/>
        </w:trPr>
        <w:tc>
          <w:tcPr>
            <w:tcW w:w="1591" w:type="dxa"/>
            <w:vAlign w:val="top"/>
          </w:tcPr>
          <w:p>
            <w:pPr>
              <w:ind w:left="570"/>
              <w:spacing w:before="198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其他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ind w:left="105"/>
              <w:spacing w:before="248" w:line="188" w:lineRule="auto"/>
              <w:rPr/>
            </w:pPr>
            <w:r>
              <w:rPr>
                <w:b/>
                <w:bCs/>
              </w:rPr>
              <w:t>≤</w:t>
            </w:r>
            <w:r>
              <w:rPr/>
              <w:t>10%</w:t>
            </w:r>
          </w:p>
        </w:tc>
        <w:tc>
          <w:tcPr>
            <w:tcW w:w="2498" w:type="dxa"/>
            <w:vAlign w:val="top"/>
          </w:tcPr>
          <w:p>
            <w:pPr>
              <w:ind w:left="115"/>
              <w:spacing w:before="198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6"/>
              </w:rPr>
              <w:t>其他</w:t>
            </w:r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58"/>
              <w:spacing w:before="248" w:line="188" w:lineRule="auto"/>
              <w:rPr/>
            </w:pPr>
            <w:r>
              <w:rPr>
                <w:spacing w:val="-1"/>
              </w:rPr>
              <w:t>≥80%</w:t>
            </w:r>
          </w:p>
        </w:tc>
      </w:tr>
    </w:tbl>
    <w:p>
      <w:pPr>
        <w:pStyle w:val="BodyText"/>
        <w:ind w:left="281" w:right="455" w:firstLine="643"/>
        <w:spacing w:before="242" w:line="381" w:lineRule="auto"/>
        <w:jc w:val="both"/>
        <w:rPr/>
      </w:pPr>
      <w:r>
        <w:rPr>
          <w:spacing w:val="6"/>
        </w:rPr>
        <w:t>注</w:t>
      </w:r>
      <w:r>
        <w:rPr>
          <w:spacing w:val="-80"/>
          <w:w w:val="90"/>
        </w:rPr>
        <w:t>：（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6"/>
        </w:rPr>
        <w:t>）技术标评审通过的但技术标某评审项缺项，该项</w:t>
      </w:r>
      <w:r>
        <w:rPr>
          <w:spacing w:val="2"/>
        </w:rPr>
        <w:t>得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0 </w:t>
      </w:r>
      <w:r>
        <w:rPr>
          <w:spacing w:val="2"/>
        </w:rPr>
        <w:t>分。（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）技术标评审一般不宜设置以施工图设计为评</w:t>
      </w:r>
      <w:r>
        <w:rPr>
          <w:spacing w:val="1"/>
        </w:rPr>
        <w:t>审因</w:t>
      </w:r>
      <w:r>
        <w:rPr>
          <w:spacing w:val="-5"/>
        </w:rPr>
        <w:t>素。</w:t>
      </w:r>
    </w:p>
    <w:p>
      <w:pPr>
        <w:pStyle w:val="BodyText"/>
        <w:ind w:left="917"/>
        <w:spacing w:line="220" w:lineRule="auto"/>
        <w:rPr/>
      </w:pPr>
      <w:r>
        <w:rPr>
          <w:rFonts w:ascii="Times New Roman" w:hAnsi="Times New Roman" w:eastAsia="Times New Roman" w:cs="Times New Roman"/>
          <w:spacing w:val="-5"/>
        </w:rPr>
        <w:t>3.</w:t>
      </w:r>
      <w:r>
        <w:rPr>
          <w:spacing w:val="-5"/>
        </w:rPr>
        <w:t>投标人陈述和答辩（选择项，分值应按照上表</w:t>
      </w:r>
      <w:r>
        <w:rPr>
          <w:spacing w:val="-6"/>
        </w:rPr>
        <w:t>要求设置）。</w:t>
      </w:r>
    </w:p>
    <w:p>
      <w:pPr>
        <w:pStyle w:val="BodyText"/>
        <w:ind w:left="276" w:right="455" w:firstLine="640"/>
        <w:spacing w:before="268" w:line="382" w:lineRule="auto"/>
        <w:rPr/>
      </w:pPr>
      <w:r>
        <w:rPr>
          <w:spacing w:val="21"/>
        </w:rPr>
        <w:t>评标委员会对通过技术标评审和符合性评审的投标人进</w:t>
      </w:r>
      <w:r>
        <w:rPr>
          <w:spacing w:val="-1"/>
        </w:rPr>
        <w:t>行（</w:t>
      </w:r>
      <w:r>
        <w:rPr>
          <w:spacing w:val="-59"/>
        </w:rPr>
        <w:t xml:space="preserve"> </w:t>
      </w:r>
      <w:r>
        <w:rPr>
          <w:spacing w:val="-1"/>
        </w:rPr>
        <w:t>陈述和答辩）评审：</w:t>
      </w:r>
    </w:p>
    <w:p>
      <w:pPr>
        <w:spacing w:line="382" w:lineRule="auto"/>
        <w:sectPr>
          <w:footerReference w:type="default" r:id="rId42"/>
          <w:pgSz w:w="11906" w:h="16839"/>
          <w:pgMar w:top="1431" w:right="1191" w:bottom="1156" w:left="1380" w:header="0" w:footer="992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jc w:val="right"/>
        <w:rPr/>
      </w:pPr>
      <w:r>
        <w:rPr>
          <w:spacing w:val="2"/>
        </w:rPr>
        <w:t>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）陈述和答辩具体要求见投标人须知前附表第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1"/>
        </w:rPr>
        <w:t>0.6</w:t>
      </w:r>
      <w:r>
        <w:rPr>
          <w:spacing w:val="1"/>
        </w:rPr>
        <w:t>款。</w:t>
      </w:r>
    </w:p>
    <w:p>
      <w:pPr>
        <w:pStyle w:val="BodyText"/>
        <w:ind w:left="3" w:firstLine="630"/>
        <w:spacing w:before="271" w:line="358" w:lineRule="auto"/>
        <w:rPr/>
      </w:pPr>
      <w:r>
        <w:rPr>
          <w:spacing w:val="13"/>
        </w:rPr>
        <w:t>（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3"/>
        </w:rPr>
        <w:t>）评标委员会各成员对答辩人的陈述答辩情况独立评</w:t>
      </w:r>
      <w:r>
        <w:rPr>
          <w:spacing w:val="10"/>
        </w:rPr>
        <w:t>分并署名（保留</w:t>
      </w:r>
      <w:r>
        <w:rPr>
          <w:rFonts w:ascii="Times New Roman" w:hAnsi="Times New Roman" w:eastAsia="Times New Roman" w:cs="Times New Roman"/>
          <w:spacing w:val="10"/>
        </w:rPr>
        <w:t>2 </w:t>
      </w:r>
      <w:r>
        <w:rPr>
          <w:spacing w:val="10"/>
        </w:rPr>
        <w:t>位小数）。</w:t>
      </w:r>
      <w:r>
        <w:rPr>
          <w:spacing w:val="-82"/>
        </w:rPr>
        <w:t xml:space="preserve"> </w:t>
      </w:r>
      <w:r>
        <w:rPr>
          <w:spacing w:val="10"/>
        </w:rPr>
        <w:t>陈述和答辩评分范围在</w:t>
      </w:r>
      <w:r>
        <w:rPr>
          <w:rFonts w:ascii="Times New Roman" w:hAnsi="Times New Roman" w:eastAsia="Times New Roman" w:cs="Times New Roman"/>
          <w:spacing w:val="10"/>
        </w:rPr>
        <w:t>a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10"/>
        </w:rPr>
        <w:t>至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b </w:t>
      </w:r>
      <w:r>
        <w:rPr>
          <w:spacing w:val="10"/>
        </w:rPr>
        <w:t>分</w:t>
      </w:r>
      <w:r>
        <w:rPr>
          <w:spacing w:val="4"/>
        </w:rPr>
        <w:t>之间（含本数，</w:t>
      </w:r>
      <w:r>
        <w:rPr>
          <w:rFonts w:ascii="Times New Roman" w:hAnsi="Times New Roman" w:eastAsia="Times New Roman" w:cs="Times New Roman"/>
          <w:spacing w:val="4"/>
        </w:rPr>
        <w:t>b/a≥60%</w:t>
      </w:r>
      <w:r>
        <w:rPr>
          <w:spacing w:val="-6"/>
        </w:rPr>
        <w:t>），</w:t>
      </w:r>
      <w:r>
        <w:rPr>
          <w:spacing w:val="4"/>
        </w:rPr>
        <w:t>除答辩人自动放弃陈述和答辩按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spacing w:val="5"/>
        </w:rPr>
        <w:t>分处理外，对低于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b </w:t>
      </w:r>
      <w:r>
        <w:rPr>
          <w:spacing w:val="5"/>
        </w:rPr>
        <w:t>分或高于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a </w:t>
      </w:r>
      <w:r>
        <w:rPr>
          <w:spacing w:val="5"/>
        </w:rPr>
        <w:t>分的评分表作无效处理。</w:t>
      </w:r>
      <w:r>
        <w:rPr>
          <w:spacing w:val="-85"/>
        </w:rPr>
        <w:t xml:space="preserve"> </w:t>
      </w:r>
      <w:r>
        <w:rPr>
          <w:spacing w:val="5"/>
        </w:rPr>
        <w:t>陈述</w:t>
      </w:r>
      <w:r>
        <w:rPr/>
        <w:t>和答辩最终得分：评标委员会成员的有效评分大于等于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个的，</w:t>
      </w:r>
      <w:r>
        <w:rPr>
          <w:spacing w:val="8"/>
        </w:rPr>
        <w:t>扣除一个最高分和一个最低分后的算术平均值，有效评分少于</w:t>
      </w:r>
      <w:r>
        <w:rPr>
          <w:rFonts w:ascii="Times New Roman" w:hAnsi="Times New Roman" w:eastAsia="Times New Roman" w:cs="Times New Roman"/>
          <w:spacing w:val="7"/>
        </w:rPr>
        <w:t>5 </w:t>
      </w:r>
      <w:r>
        <w:rPr>
          <w:spacing w:val="7"/>
        </w:rPr>
        <w:t>个的，按全部有效评分的算术平均值（保留小数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 </w:t>
      </w:r>
      <w:r>
        <w:rPr>
          <w:spacing w:val="7"/>
        </w:rPr>
        <w:t>位）。</w:t>
      </w:r>
    </w:p>
    <w:p>
      <w:pPr>
        <w:ind w:left="649"/>
        <w:spacing w:before="268" w:line="227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五、资信标部分</w:t>
      </w:r>
    </w:p>
    <w:p>
      <w:pPr>
        <w:pStyle w:val="BodyText"/>
        <w:ind w:right="3" w:firstLine="685"/>
        <w:spacing w:before="259" w:line="381" w:lineRule="auto"/>
        <w:rPr/>
      </w:pPr>
      <w:r>
        <w:rPr>
          <w:spacing w:val="20"/>
        </w:rPr>
        <w:t>由招标人结合招标工程情况和自身需求自行选择</w:t>
      </w:r>
      <w:r>
        <w:rPr>
          <w:spacing w:val="19"/>
        </w:rPr>
        <w:t>是否应</w:t>
      </w:r>
      <w:r>
        <w:rPr>
          <w:spacing w:val="9"/>
        </w:rPr>
        <w:t>用信用进行评分，不选择时将自动获得该项</w:t>
      </w:r>
      <w:r>
        <w:rPr>
          <w:spacing w:val="8"/>
        </w:rPr>
        <w:t>满分分值。评标委</w:t>
      </w:r>
      <w:r>
        <w:rPr>
          <w:spacing w:val="8"/>
        </w:rPr>
        <w:t>员会对通过符合性评审、技术标评审的投标文件进行资信标评</w:t>
      </w:r>
      <w:r>
        <w:rPr>
          <w:spacing w:val="-3"/>
        </w:rPr>
        <w:t>审。（信用评分应统一采用省建设厅发布的信用评价标准，信用</w:t>
      </w:r>
      <w:r>
        <w:rPr>
          <w:spacing w:val="8"/>
        </w:rPr>
        <w:t>评价等级以投标截止时间上一旬为准（</w:t>
      </w:r>
      <w:r>
        <w:rPr>
          <w:spacing w:val="-53"/>
        </w:rPr>
        <w:t xml:space="preserve"> </w:t>
      </w:r>
      <w:r>
        <w:rPr>
          <w:spacing w:val="8"/>
        </w:rPr>
        <w:t>即投标截止</w:t>
      </w:r>
      <w:r>
        <w:rPr>
          <w:spacing w:val="7"/>
        </w:rPr>
        <w:t>时间在当月</w:t>
      </w:r>
      <w:r>
        <w:rPr>
          <w:rFonts w:ascii="Times New Roman" w:hAnsi="Times New Roman" w:eastAsia="Times New Roman" w:cs="Times New Roman"/>
          <w:spacing w:val="-6"/>
        </w:rPr>
        <w:t>1-10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6"/>
        </w:rPr>
        <w:t>号的，</w:t>
      </w:r>
      <w:r>
        <w:rPr>
          <w:spacing w:val="-92"/>
        </w:rPr>
        <w:t xml:space="preserve"> </w:t>
      </w:r>
      <w:r>
        <w:rPr>
          <w:spacing w:val="-6"/>
        </w:rPr>
        <w:t>以上月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21-31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6"/>
        </w:rPr>
        <w:t>号发布的最新一期企业信用等级为准；</w:t>
      </w:r>
    </w:p>
    <w:p>
      <w:pPr>
        <w:pStyle w:val="BodyText"/>
        <w:ind w:right="12" w:firstLine="3"/>
        <w:spacing w:before="4" w:line="381" w:lineRule="auto"/>
        <w:rPr>
          <w:rFonts w:ascii="Times New Roman" w:hAnsi="Times New Roman" w:eastAsia="Times New Roman" w:cs="Times New Roman"/>
        </w:rPr>
      </w:pPr>
      <w:r>
        <w:rPr>
          <w:spacing w:val="-8"/>
        </w:rPr>
        <w:t>投标截止时间在当月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11-20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号的，以当月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1-10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号</w:t>
      </w:r>
      <w:r>
        <w:rPr>
          <w:spacing w:val="-9"/>
        </w:rPr>
        <w:t>发布的最新一期</w:t>
      </w:r>
      <w:r>
        <w:rPr>
          <w:spacing w:val="-14"/>
        </w:rPr>
        <w:t>企业信用等级为准；投标截止时间在当月</w:t>
      </w:r>
      <w:r>
        <w:rPr>
          <w:rFonts w:ascii="Times New Roman" w:hAnsi="Times New Roman" w:eastAsia="Times New Roman" w:cs="Times New Roman"/>
          <w:spacing w:val="-14"/>
        </w:rPr>
        <w:t>21-31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4"/>
        </w:rPr>
        <w:t>号的，以当月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11-20</w:t>
      </w:r>
      <w:r>
        <w:rPr>
          <w:spacing w:val="2"/>
        </w:rPr>
        <w:t>号发布的最新一期企业信用等级为准</w:t>
      </w:r>
      <w:r>
        <w:rPr>
          <w:spacing w:val="-65"/>
        </w:rPr>
        <w:t>），</w:t>
      </w:r>
      <w:r>
        <w:rPr>
          <w:spacing w:val="2"/>
        </w:rPr>
        <w:t>其中，施工企业信用评</w:t>
      </w:r>
      <w:r>
        <w:rPr>
          <w:spacing w:val="15"/>
        </w:rPr>
        <w:t>价等级以全省建筑施工企业信用评价管理系统中发布的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spacing w:val="15"/>
        </w:rPr>
        <w:t>建筑</w:t>
      </w:r>
      <w:r>
        <w:rPr>
          <w:spacing w:val="15"/>
        </w:rPr>
        <w:t>施工企业信用评价等级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spacing w:val="15"/>
        </w:rPr>
        <w:t>公布为准；设计企业信用评价等级以</w:t>
      </w:r>
      <w:r>
        <w:rPr>
          <w:spacing w:val="12"/>
        </w:rPr>
        <w:t>浙江省勘察设计行业四库一平台信息系统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企业信用评价模块</w:t>
      </w:r>
      <w:r>
        <w:rPr>
          <w:rFonts w:ascii="Times New Roman" w:hAnsi="Times New Roman" w:eastAsia="Times New Roman" w:cs="Times New Roman"/>
          <w:spacing w:val="12"/>
        </w:rPr>
        <w:t>”</w:t>
      </w:r>
    </w:p>
    <w:p>
      <w:pPr>
        <w:spacing w:line="381" w:lineRule="auto"/>
        <w:sectPr>
          <w:footerReference w:type="default" r:id="rId43"/>
          <w:pgSz w:w="11906" w:h="16839"/>
          <w:pgMar w:top="1431" w:right="1562" w:bottom="1157" w:left="1655" w:header="0" w:footer="992" w:gutter="0"/>
        </w:sectPr>
        <w:rPr>
          <w:rFonts w:ascii="Times New Roman" w:hAnsi="Times New Roman" w:eastAsia="Times New Roman" w:cs="Times New Roman"/>
        </w:rPr>
      </w:pP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350" w:right="271" w:firstLine="17"/>
        <w:spacing w:before="101" w:line="381" w:lineRule="auto"/>
        <w:jc w:val="both"/>
        <w:rPr/>
      </w:pPr>
      <w:r>
        <w:rPr>
          <w:spacing w:val="8"/>
        </w:rPr>
        <w:t>记录的设计企业信用等级为准；联合体投标的，相关成员单位</w:t>
      </w:r>
      <w:r>
        <w:rPr>
          <w:spacing w:val="21"/>
        </w:rPr>
        <w:t>以其联合体协议书中明确的所承担工作内容各自提供对应的</w:t>
      </w:r>
      <w:r>
        <w:rPr>
          <w:spacing w:val="6"/>
        </w:rPr>
        <w:t>信用评价；同一任务（设计或施工）有多个单位承担的，</w:t>
      </w:r>
      <w:r>
        <w:rPr>
          <w:spacing w:val="-75"/>
        </w:rPr>
        <w:t xml:space="preserve"> </w:t>
      </w:r>
      <w:r>
        <w:rPr>
          <w:spacing w:val="6"/>
        </w:rPr>
        <w:t>由其</w:t>
      </w:r>
      <w:r>
        <w:rPr>
          <w:spacing w:val="9"/>
        </w:rPr>
        <w:t>中承担较多任务的相关单位提供对应的信用评价，评分以该成</w:t>
      </w:r>
      <w:r>
        <w:rPr>
          <w:spacing w:val="8"/>
        </w:rPr>
        <w:t>员为准，未提供或者提供不全的投标人按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0 </w:t>
      </w:r>
      <w:r>
        <w:rPr>
          <w:spacing w:val="8"/>
        </w:rPr>
        <w:t>分计。投标人拟派</w:t>
      </w:r>
      <w:r>
        <w:rPr>
          <w:spacing w:val="-6"/>
        </w:rPr>
        <w:t>施工负责人信用评价得分：信用评价以投标截止时间上一旬（</w:t>
      </w:r>
      <w:r>
        <w:rPr>
          <w:spacing w:val="-51"/>
        </w:rPr>
        <w:t xml:space="preserve"> </w:t>
      </w:r>
      <w:r>
        <w:rPr>
          <w:spacing w:val="-6"/>
        </w:rPr>
        <w:t>即</w:t>
      </w:r>
      <w:r>
        <w:rPr>
          <w:spacing w:val="-7"/>
        </w:rPr>
        <w:t>投标截止时间在当月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1-10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7"/>
        </w:rPr>
        <w:t>号的，以上月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21-31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7"/>
        </w:rPr>
        <w:t>号发布的最新一期</w:t>
      </w:r>
      <w:r>
        <w:rPr>
          <w:spacing w:val="-8"/>
        </w:rPr>
        <w:t>得分为准；投标截止时间在当月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11-20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8"/>
        </w:rPr>
        <w:t>号的，以当月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1-10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号发布</w:t>
      </w:r>
      <w:r>
        <w:rPr>
          <w:spacing w:val="-2"/>
        </w:rPr>
        <w:t>的最新一期得分为准；投标截止时间在当月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21-31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2"/>
        </w:rPr>
        <w:t>号的，</w:t>
      </w:r>
      <w:r>
        <w:rPr>
          <w:spacing w:val="-90"/>
        </w:rPr>
        <w:t xml:space="preserve"> </w:t>
      </w:r>
      <w:r>
        <w:rPr>
          <w:spacing w:val="-2"/>
        </w:rPr>
        <w:t>以当月</w:t>
      </w:r>
      <w:r>
        <w:rPr>
          <w:rFonts w:ascii="Times New Roman" w:hAnsi="Times New Roman" w:eastAsia="Times New Roman" w:cs="Times New Roman"/>
          <w:spacing w:val="1"/>
        </w:rPr>
        <w:t>11-20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号发布的最新一期得分为准）全省注册建造师信用评</w:t>
      </w:r>
      <w:r>
        <w:rPr/>
        <w:t>价管</w:t>
      </w:r>
      <w:r>
        <w:rPr>
          <w:spacing w:val="10"/>
        </w:rPr>
        <w:t>理应用中发布的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注册建造师得分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为准，提供多个拟</w:t>
      </w:r>
      <w:r>
        <w:rPr>
          <w:spacing w:val="9"/>
        </w:rPr>
        <w:t>派项目负</w:t>
      </w:r>
      <w:r>
        <w:rPr>
          <w:spacing w:val="9"/>
        </w:rPr>
        <w:t>责人的以信用评价得分低的人员为准，未提供或者提供不全的</w:t>
      </w:r>
      <w:r>
        <w:rPr>
          <w:spacing w:val="-10"/>
        </w:rPr>
        <w:t>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0"/>
        </w:rPr>
        <w:t>分计。）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ind w:left="3558"/>
        <w:spacing w:before="100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资信评审因素表</w:t>
      </w:r>
    </w:p>
    <w:p>
      <w:pPr>
        <w:spacing w:line="11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5"/>
        <w:gridCol w:w="5279"/>
        <w:gridCol w:w="1784"/>
      </w:tblGrid>
      <w:tr>
        <w:trPr>
          <w:trHeight w:val="569" w:hRule="atLeast"/>
        </w:trPr>
        <w:tc>
          <w:tcPr>
            <w:tcW w:w="2245" w:type="dxa"/>
            <w:vAlign w:val="top"/>
          </w:tcPr>
          <w:p>
            <w:pPr>
              <w:ind w:left="577"/>
              <w:spacing w:before="19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8"/>
              </w:rPr>
              <w:t>评审因素</w:t>
            </w:r>
          </w:p>
        </w:tc>
        <w:tc>
          <w:tcPr>
            <w:tcW w:w="5279" w:type="dxa"/>
            <w:vAlign w:val="top"/>
          </w:tcPr>
          <w:p>
            <w:pPr>
              <w:ind w:left="2414"/>
              <w:spacing w:before="19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31"/>
              </w:rPr>
              <w:t>内容</w:t>
            </w:r>
          </w:p>
        </w:tc>
        <w:tc>
          <w:tcPr>
            <w:tcW w:w="1784" w:type="dxa"/>
            <w:vAlign w:val="top"/>
          </w:tcPr>
          <w:p>
            <w:pPr>
              <w:ind w:left="349"/>
              <w:spacing w:before="198" w:line="217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b/>
                <w:bCs/>
                <w:spacing w:val="-19"/>
              </w:rPr>
              <w:t>分值权重</w:t>
            </w:r>
          </w:p>
        </w:tc>
      </w:tr>
      <w:tr>
        <w:trPr>
          <w:trHeight w:val="1123" w:hRule="atLeast"/>
        </w:trPr>
        <w:tc>
          <w:tcPr>
            <w:tcW w:w="2245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97" w:line="218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1"/>
              </w:rPr>
              <w:t>类似工程业绩</w:t>
            </w:r>
          </w:p>
        </w:tc>
        <w:tc>
          <w:tcPr>
            <w:tcW w:w="5279" w:type="dxa"/>
            <w:vAlign w:val="top"/>
          </w:tcPr>
          <w:p>
            <w:pPr>
              <w:ind w:left="169" w:right="79" w:hanging="51"/>
              <w:spacing w:before="193" w:line="283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3"/>
              </w:rPr>
              <w:t>企业业绩（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61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3"/>
              </w:rPr>
              <w:t>由招标人结合招标工程情况和</w:t>
            </w:r>
            <w:r>
              <w:rPr>
                <w:rFonts w:ascii="FangSong" w:hAnsi="FangSong" w:eastAsia="FangSong" w:cs="FangSong"/>
                <w:sz w:val="30"/>
                <w:szCs w:val="30"/>
                <w:spacing w:val="-26"/>
              </w:rPr>
              <w:t>自身需求自行设置）</w:t>
            </w:r>
          </w:p>
        </w:tc>
        <w:tc>
          <w:tcPr>
            <w:tcW w:w="178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97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3"/>
              </w:rPr>
              <w:t>0-1.5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分</w:t>
            </w:r>
          </w:p>
        </w:tc>
      </w:tr>
      <w:tr>
        <w:trPr>
          <w:trHeight w:val="1685" w:hRule="atLeast"/>
        </w:trPr>
        <w:tc>
          <w:tcPr>
            <w:tcW w:w="22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9" w:type="dxa"/>
            <w:vAlign w:val="top"/>
          </w:tcPr>
          <w:p>
            <w:pPr>
              <w:ind w:left="122" w:right="79" w:hanging="4"/>
              <w:spacing w:before="193" w:line="304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8"/>
              </w:rPr>
              <w:t>人员业绩（项目负责人、设计负责人、施</w:t>
            </w:r>
            <w:r>
              <w:rPr>
                <w:rFonts w:ascii="FangSong" w:hAnsi="FangSong" w:eastAsia="FangSong" w:cs="FangSong"/>
                <w:sz w:val="30"/>
                <w:szCs w:val="30"/>
                <w:spacing w:val="-19"/>
              </w:rPr>
              <w:t>工负责人等，由招标人结合招标工程情况</w:t>
            </w:r>
            <w:r>
              <w:rPr>
                <w:rFonts w:ascii="FangSong" w:hAnsi="FangSong" w:eastAsia="FangSong" w:cs="FangSong"/>
                <w:sz w:val="30"/>
                <w:szCs w:val="30"/>
                <w:spacing w:val="-22"/>
              </w:rPr>
              <w:t>和自身需求自行设置）</w:t>
            </w:r>
          </w:p>
        </w:tc>
        <w:tc>
          <w:tcPr>
            <w:tcW w:w="178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97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3"/>
              </w:rPr>
              <w:t>0-0.5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6" w:h="16839"/>
          <w:pgMar w:top="1431" w:right="1296" w:bottom="1157" w:left="1296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3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5"/>
        <w:gridCol w:w="5279"/>
        <w:gridCol w:w="1784"/>
      </w:tblGrid>
      <w:tr>
        <w:trPr>
          <w:trHeight w:val="2505" w:hRule="atLeast"/>
        </w:trPr>
        <w:tc>
          <w:tcPr>
            <w:tcW w:w="2245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0"/>
              <w:spacing w:before="97" w:line="216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信用评分</w:t>
            </w:r>
          </w:p>
        </w:tc>
        <w:tc>
          <w:tcPr>
            <w:tcW w:w="5279" w:type="dxa"/>
            <w:vAlign w:val="top"/>
          </w:tcPr>
          <w:p>
            <w:pPr>
              <w:pStyle w:val="TableText"/>
              <w:ind w:left="118" w:right="79" w:hanging="1"/>
              <w:spacing w:before="167" w:line="358" w:lineRule="auto"/>
              <w:jc w:val="both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5"/>
              </w:rPr>
              <w:t>施工企业信用评价：</w:t>
            </w:r>
            <w:r>
              <w:rPr>
                <w:spacing w:val="-15"/>
              </w:rPr>
              <w:t>A </w:t>
            </w:r>
            <w:r>
              <w:rPr>
                <w:rFonts w:ascii="FangSong" w:hAnsi="FangSong" w:eastAsia="FangSong" w:cs="FangSong"/>
                <w:spacing w:val="-15"/>
              </w:rPr>
              <w:t>级</w:t>
            </w:r>
            <w:r>
              <w:rPr>
                <w:spacing w:val="-15"/>
              </w:rPr>
              <w:t>0.75 </w:t>
            </w:r>
            <w:r>
              <w:rPr>
                <w:rFonts w:ascii="FangSong" w:hAnsi="FangSong" w:eastAsia="FangSong" w:cs="FangSong"/>
                <w:spacing w:val="-15"/>
              </w:rPr>
              <w:t>分，</w:t>
            </w:r>
            <w:r>
              <w:rPr>
                <w:spacing w:val="-15"/>
              </w:rPr>
              <w:t>B </w:t>
            </w:r>
            <w:r>
              <w:rPr>
                <w:rFonts w:ascii="FangSong" w:hAnsi="FangSong" w:eastAsia="FangSong" w:cs="FangSong"/>
                <w:spacing w:val="-15"/>
              </w:rPr>
              <w:t>级</w:t>
            </w:r>
            <w:r>
              <w:rPr>
                <w:spacing w:val="-15"/>
              </w:rPr>
              <w:t>0</w:t>
            </w:r>
            <w:r>
              <w:rPr>
                <w:spacing w:val="-16"/>
              </w:rPr>
              <w:t>.6</w:t>
            </w:r>
            <w:r>
              <w:rPr>
                <w:rFonts w:ascii="FangSong" w:hAnsi="FangSong" w:eastAsia="FangSong" w:cs="FangSong"/>
                <w:spacing w:val="-17"/>
              </w:rPr>
              <w:t>分，</w:t>
            </w:r>
            <w:r>
              <w:rPr>
                <w:spacing w:val="-17"/>
              </w:rPr>
              <w:t>C </w:t>
            </w:r>
            <w:r>
              <w:rPr>
                <w:rFonts w:ascii="FangSong" w:hAnsi="FangSong" w:eastAsia="FangSong" w:cs="FangSong"/>
                <w:spacing w:val="-17"/>
              </w:rPr>
              <w:t>级</w:t>
            </w:r>
            <w:r>
              <w:rPr>
                <w:spacing w:val="-17"/>
              </w:rPr>
              <w:t>0.4 </w:t>
            </w:r>
            <w:r>
              <w:rPr>
                <w:rFonts w:ascii="FangSong" w:hAnsi="FangSong" w:eastAsia="FangSong" w:cs="FangSong"/>
                <w:spacing w:val="-17"/>
              </w:rPr>
              <w:t>分，</w:t>
            </w:r>
            <w:r>
              <w:rPr>
                <w:spacing w:val="-17"/>
              </w:rPr>
              <w:t>D </w:t>
            </w:r>
            <w:r>
              <w:rPr>
                <w:rFonts w:ascii="FangSong" w:hAnsi="FangSong" w:eastAsia="FangSong" w:cs="FangSong"/>
                <w:spacing w:val="-17"/>
              </w:rPr>
              <w:t>级</w:t>
            </w:r>
            <w:r>
              <w:rPr>
                <w:spacing w:val="-17"/>
              </w:rPr>
              <w:t>0.2 </w:t>
            </w:r>
            <w:r>
              <w:rPr>
                <w:rFonts w:ascii="FangSong" w:hAnsi="FangSong" w:eastAsia="FangSong" w:cs="FangSong"/>
                <w:spacing w:val="-17"/>
              </w:rPr>
              <w:t>分，</w:t>
            </w:r>
            <w:r>
              <w:rPr>
                <w:spacing w:val="-17"/>
              </w:rPr>
              <w:t>E </w:t>
            </w:r>
            <w:r>
              <w:rPr>
                <w:rFonts w:ascii="FangSong" w:hAnsi="FangSong" w:eastAsia="FangSong" w:cs="FangSong"/>
                <w:spacing w:val="-17"/>
              </w:rPr>
              <w:t>级</w:t>
            </w:r>
            <w:r>
              <w:rPr>
                <w:spacing w:val="-17"/>
              </w:rPr>
              <w:t>0 </w:t>
            </w:r>
            <w:r>
              <w:rPr>
                <w:rFonts w:ascii="FangSong" w:hAnsi="FangSong" w:eastAsia="FangSong" w:cs="FangSong"/>
                <w:spacing w:val="-17"/>
              </w:rPr>
              <w:t>分（由</w:t>
            </w:r>
            <w:r>
              <w:rPr>
                <w:rFonts w:ascii="FangSong" w:hAnsi="FangSong" w:eastAsia="FangSong" w:cs="FangSong"/>
                <w:spacing w:val="-18"/>
              </w:rPr>
              <w:t>招标人结合招标工程情况和自身需求自行</w:t>
            </w:r>
            <w:r>
              <w:rPr>
                <w:rFonts w:ascii="FangSong" w:hAnsi="FangSong" w:eastAsia="FangSong" w:cs="FangSong"/>
                <w:spacing w:val="-22"/>
              </w:rPr>
              <w:t>选择是否应用信用进行评分）</w:t>
            </w:r>
          </w:p>
        </w:tc>
        <w:tc>
          <w:tcPr>
            <w:tcW w:w="17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98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2"/>
              </w:rPr>
              <w:t>0-0.75</w:t>
            </w:r>
            <w:r>
              <w:rPr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</w:rPr>
              <w:t>分</w:t>
            </w:r>
          </w:p>
        </w:tc>
      </w:tr>
      <w:tr>
        <w:trPr>
          <w:trHeight w:val="2500" w:hRule="atLeast"/>
        </w:trPr>
        <w:tc>
          <w:tcPr>
            <w:tcW w:w="22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9" w:type="dxa"/>
            <w:vAlign w:val="top"/>
          </w:tcPr>
          <w:p>
            <w:pPr>
              <w:pStyle w:val="TableText"/>
              <w:ind w:left="117" w:right="79" w:hanging="2"/>
              <w:spacing w:before="162" w:line="358" w:lineRule="auto"/>
              <w:jc w:val="both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5"/>
              </w:rPr>
              <w:t>设计企业信用评价：</w:t>
            </w:r>
            <w:r>
              <w:rPr>
                <w:spacing w:val="-15"/>
              </w:rPr>
              <w:t>A </w:t>
            </w:r>
            <w:r>
              <w:rPr>
                <w:rFonts w:ascii="FangSong" w:hAnsi="FangSong" w:eastAsia="FangSong" w:cs="FangSong"/>
                <w:spacing w:val="-15"/>
              </w:rPr>
              <w:t>级</w:t>
            </w:r>
            <w:r>
              <w:rPr>
                <w:spacing w:val="-15"/>
              </w:rPr>
              <w:t>0.75 </w:t>
            </w:r>
            <w:r>
              <w:rPr>
                <w:rFonts w:ascii="FangSong" w:hAnsi="FangSong" w:eastAsia="FangSong" w:cs="FangSong"/>
                <w:spacing w:val="-15"/>
              </w:rPr>
              <w:t>分，</w:t>
            </w:r>
            <w:r>
              <w:rPr>
                <w:spacing w:val="-15"/>
              </w:rPr>
              <w:t>B </w:t>
            </w:r>
            <w:r>
              <w:rPr>
                <w:rFonts w:ascii="FangSong" w:hAnsi="FangSong" w:eastAsia="FangSong" w:cs="FangSong"/>
                <w:spacing w:val="-15"/>
              </w:rPr>
              <w:t>级</w:t>
            </w:r>
            <w:r>
              <w:rPr>
                <w:spacing w:val="-15"/>
              </w:rPr>
              <w:t>0.6</w:t>
            </w:r>
            <w:r>
              <w:rPr>
                <w:rFonts w:ascii="FangSong" w:hAnsi="FangSong" w:eastAsia="FangSong" w:cs="FangSong"/>
                <w:spacing w:val="-17"/>
              </w:rPr>
              <w:t>分，</w:t>
            </w:r>
            <w:r>
              <w:rPr>
                <w:spacing w:val="-17"/>
              </w:rPr>
              <w:t>C </w:t>
            </w:r>
            <w:r>
              <w:rPr>
                <w:rFonts w:ascii="FangSong" w:hAnsi="FangSong" w:eastAsia="FangSong" w:cs="FangSong"/>
                <w:spacing w:val="-17"/>
              </w:rPr>
              <w:t>级</w:t>
            </w:r>
            <w:r>
              <w:rPr>
                <w:spacing w:val="-17"/>
              </w:rPr>
              <w:t>0.4 </w:t>
            </w:r>
            <w:r>
              <w:rPr>
                <w:rFonts w:ascii="FangSong" w:hAnsi="FangSong" w:eastAsia="FangSong" w:cs="FangSong"/>
                <w:spacing w:val="-17"/>
              </w:rPr>
              <w:t>分，</w:t>
            </w:r>
            <w:r>
              <w:rPr>
                <w:spacing w:val="-17"/>
              </w:rPr>
              <w:t>D </w:t>
            </w:r>
            <w:r>
              <w:rPr>
                <w:rFonts w:ascii="FangSong" w:hAnsi="FangSong" w:eastAsia="FangSong" w:cs="FangSong"/>
                <w:spacing w:val="-17"/>
              </w:rPr>
              <w:t>级</w:t>
            </w:r>
            <w:r>
              <w:rPr>
                <w:spacing w:val="-17"/>
              </w:rPr>
              <w:t>0.2 </w:t>
            </w:r>
            <w:r>
              <w:rPr>
                <w:rFonts w:ascii="FangSong" w:hAnsi="FangSong" w:eastAsia="FangSong" w:cs="FangSong"/>
                <w:spacing w:val="-17"/>
              </w:rPr>
              <w:t>分，</w:t>
            </w:r>
            <w:r>
              <w:rPr>
                <w:spacing w:val="-17"/>
              </w:rPr>
              <w:t>E </w:t>
            </w:r>
            <w:r>
              <w:rPr>
                <w:rFonts w:ascii="FangSong" w:hAnsi="FangSong" w:eastAsia="FangSong" w:cs="FangSong"/>
                <w:spacing w:val="-17"/>
              </w:rPr>
              <w:t>级</w:t>
            </w:r>
            <w:r>
              <w:rPr>
                <w:spacing w:val="-17"/>
              </w:rPr>
              <w:t>0 </w:t>
            </w:r>
            <w:r>
              <w:rPr>
                <w:rFonts w:ascii="FangSong" w:hAnsi="FangSong" w:eastAsia="FangSong" w:cs="FangSong"/>
                <w:spacing w:val="-17"/>
              </w:rPr>
              <w:t>分（由</w:t>
            </w:r>
            <w:r>
              <w:rPr>
                <w:rFonts w:ascii="FangSong" w:hAnsi="FangSong" w:eastAsia="FangSong" w:cs="FangSong"/>
                <w:spacing w:val="-18"/>
              </w:rPr>
              <w:t>招标人结合招标工程情况和自身需求自行</w:t>
            </w:r>
            <w:r>
              <w:rPr>
                <w:rFonts w:ascii="FangSong" w:hAnsi="FangSong" w:eastAsia="FangSong" w:cs="FangSong"/>
                <w:spacing w:val="-22"/>
              </w:rPr>
              <w:t>选择是否应用信用进行评分）</w:t>
            </w:r>
          </w:p>
        </w:tc>
        <w:tc>
          <w:tcPr>
            <w:tcW w:w="178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97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2"/>
              </w:rPr>
              <w:t>0-0.75</w:t>
            </w:r>
            <w:r>
              <w:rPr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</w:rPr>
              <w:t>分</w:t>
            </w:r>
          </w:p>
        </w:tc>
      </w:tr>
      <w:tr>
        <w:trPr>
          <w:trHeight w:val="3747" w:hRule="atLeast"/>
        </w:trPr>
        <w:tc>
          <w:tcPr>
            <w:tcW w:w="22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9" w:type="dxa"/>
            <w:vAlign w:val="top"/>
          </w:tcPr>
          <w:p>
            <w:pPr>
              <w:pStyle w:val="TableText"/>
              <w:ind w:left="115" w:right="79" w:firstLine="1"/>
              <w:spacing w:before="168" w:line="366" w:lineRule="auto"/>
              <w:jc w:val="both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18"/>
              </w:rPr>
              <w:t>施工负责人信用评价：由招标人根据正式</w:t>
            </w:r>
            <w:r>
              <w:rPr>
                <w:rFonts w:ascii="FangSong" w:hAnsi="FangSong" w:eastAsia="FangSong" w:cs="FangSong"/>
                <w:spacing w:val="-16"/>
              </w:rPr>
              <w:t>上线</w:t>
            </w:r>
            <w:r>
              <w:rPr>
                <w:spacing w:val="-16"/>
              </w:rPr>
              <w:t>“</w:t>
            </w:r>
            <w:r>
              <w:rPr>
                <w:rFonts w:ascii="FangSong" w:hAnsi="FangSong" w:eastAsia="FangSong" w:cs="FangSong"/>
                <w:spacing w:val="-16"/>
              </w:rPr>
              <w:t>注册建造师信用评价管理应用</w:t>
            </w:r>
            <w:r>
              <w:rPr>
                <w:spacing w:val="-16"/>
              </w:rPr>
              <w:t>”</w:t>
            </w:r>
            <w:r>
              <w:rPr>
                <w:rFonts w:ascii="FangSong" w:hAnsi="FangSong" w:eastAsia="FangSong" w:cs="FangSong"/>
                <w:spacing w:val="-16"/>
              </w:rPr>
              <w:t>得分</w:t>
            </w:r>
            <w:r>
              <w:rPr>
                <w:rFonts w:ascii="FangSong" w:hAnsi="FangSong" w:eastAsia="FangSong" w:cs="FangSong"/>
                <w:spacing w:val="-18"/>
              </w:rPr>
              <w:t>作相应赋分，该应用未上线前，投标人均</w:t>
            </w:r>
            <w:r>
              <w:rPr>
                <w:rFonts w:ascii="FangSong" w:hAnsi="FangSong" w:eastAsia="FangSong" w:cs="FangSong"/>
                <w:spacing w:val="-16"/>
              </w:rPr>
              <w:t>按满分</w:t>
            </w:r>
            <w:r>
              <w:rPr>
                <w:spacing w:val="-16"/>
              </w:rPr>
              <w:t>0.25 </w:t>
            </w:r>
            <w:r>
              <w:rPr>
                <w:rFonts w:ascii="FangSong" w:hAnsi="FangSong" w:eastAsia="FangSong" w:cs="FangSong"/>
                <w:spacing w:val="-16"/>
              </w:rPr>
              <w:t>分计取（由招标人结合招标工</w:t>
            </w:r>
            <w:r>
              <w:rPr>
                <w:rFonts w:ascii="FangSong" w:hAnsi="FangSong" w:eastAsia="FangSong" w:cs="FangSong"/>
                <w:spacing w:val="-18"/>
              </w:rPr>
              <w:t>程情况和自身需求自行选择是否应用信用</w:t>
            </w:r>
            <w:r>
              <w:rPr>
                <w:rFonts w:ascii="FangSong" w:hAnsi="FangSong" w:eastAsia="FangSong" w:cs="FangSong"/>
                <w:spacing w:val="-17"/>
              </w:rPr>
              <w:t>进行评分）</w:t>
            </w:r>
          </w:p>
        </w:tc>
        <w:tc>
          <w:tcPr>
            <w:tcW w:w="17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97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2"/>
              </w:rPr>
              <w:t>0-0.25</w:t>
            </w:r>
            <w:r>
              <w:rPr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</w:rPr>
              <w:t>分</w:t>
            </w:r>
          </w:p>
        </w:tc>
      </w:tr>
      <w:tr>
        <w:trPr>
          <w:trHeight w:val="2804" w:hRule="atLeast"/>
        </w:trPr>
        <w:tc>
          <w:tcPr>
            <w:tcW w:w="224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144" w:right="82" w:hanging="22"/>
              <w:spacing w:before="98" w:line="345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0"/>
              </w:rPr>
              <w:t>项目负责人及项</w:t>
            </w:r>
            <w:r>
              <w:rPr>
                <w:rFonts w:ascii="FangSong" w:hAnsi="FangSong" w:eastAsia="FangSong" w:cs="FangSong"/>
                <w:sz w:val="30"/>
                <w:szCs w:val="30"/>
                <w:spacing w:val="-13"/>
              </w:rPr>
              <w:t>目管理班子人员</w:t>
            </w:r>
            <w:r>
              <w:rPr>
                <w:rFonts w:ascii="FangSong" w:hAnsi="FangSong" w:eastAsia="FangSong" w:cs="FangSong"/>
                <w:sz w:val="30"/>
                <w:szCs w:val="30"/>
                <w:spacing w:val="-19"/>
              </w:rPr>
              <w:t>能力</w:t>
            </w:r>
          </w:p>
        </w:tc>
        <w:tc>
          <w:tcPr>
            <w:tcW w:w="5279" w:type="dxa"/>
            <w:vAlign w:val="top"/>
          </w:tcPr>
          <w:p>
            <w:pPr>
              <w:ind w:left="109" w:firstLine="10"/>
              <w:spacing w:before="193" w:line="320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9"/>
              </w:rPr>
              <w:t>项目管理班子专业能力配备情况，项目负</w:t>
            </w:r>
            <w:r>
              <w:rPr>
                <w:rFonts w:ascii="FangSong" w:hAnsi="FangSong" w:eastAsia="FangSong" w:cs="FangSong"/>
                <w:sz w:val="30"/>
                <w:szCs w:val="30"/>
                <w:spacing w:val="-29"/>
              </w:rPr>
              <w:t>责人及各专业负责人执业资格、执业年限、</w:t>
            </w:r>
            <w:r>
              <w:rPr>
                <w:rFonts w:ascii="FangSong" w:hAnsi="FangSong" w:eastAsia="FangSong" w:cs="FangSong"/>
                <w:sz w:val="30"/>
                <w:szCs w:val="30"/>
                <w:spacing w:val="-18"/>
              </w:rPr>
              <w:t>职称，其他主要人员资格等综合情况要求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22"/>
              </w:rPr>
              <w:t>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2"/>
              </w:rPr>
              <w:t>由招标人结合招标工程情况和自身需求</w:t>
            </w:r>
            <w:r>
              <w:rPr>
                <w:rFonts w:ascii="FangSong" w:hAnsi="FangSong" w:eastAsia="FangSong" w:cs="FangSong"/>
                <w:sz w:val="30"/>
                <w:szCs w:val="30"/>
                <w:spacing w:val="-16"/>
              </w:rPr>
              <w:t>自行设置）</w:t>
            </w:r>
          </w:p>
        </w:tc>
        <w:tc>
          <w:tcPr>
            <w:tcW w:w="17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/>
              <w:spacing w:before="98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3"/>
              </w:rPr>
              <w:t>0-1</w:t>
            </w:r>
            <w:r>
              <w:rPr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</w:rPr>
              <w:t>分</w:t>
            </w:r>
          </w:p>
        </w:tc>
      </w:tr>
      <w:tr>
        <w:trPr>
          <w:trHeight w:val="1768" w:hRule="atLeast"/>
        </w:trPr>
        <w:tc>
          <w:tcPr>
            <w:tcW w:w="22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866" w:right="128" w:hanging="696"/>
              <w:spacing w:before="97" w:line="359" w:lineRule="auto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23"/>
              </w:rPr>
              <w:t>项目负责人创优</w:t>
            </w:r>
            <w:r>
              <w:rPr>
                <w:rFonts w:ascii="FangSong" w:hAnsi="FangSong" w:eastAsia="FangSong" w:cs="FangSong"/>
                <w:sz w:val="30"/>
                <w:szCs w:val="30"/>
                <w:spacing w:val="-12"/>
              </w:rPr>
              <w:t>情况</w:t>
            </w:r>
          </w:p>
        </w:tc>
        <w:tc>
          <w:tcPr>
            <w:tcW w:w="5279" w:type="dxa"/>
            <w:vAlign w:val="top"/>
          </w:tcPr>
          <w:p>
            <w:pPr>
              <w:ind w:left="112" w:right="79" w:firstLine="7"/>
              <w:spacing w:before="51" w:line="350" w:lineRule="auto"/>
              <w:jc w:val="both"/>
              <w:rPr>
                <w:rFonts w:ascii="FangSong" w:hAnsi="FangSong" w:eastAsia="FangSong" w:cs="FangSong"/>
                <w:sz w:val="30"/>
                <w:szCs w:val="30"/>
              </w:rPr>
            </w:pPr>
            <w:r>
              <w:rPr>
                <w:rFonts w:ascii="FangSong" w:hAnsi="FangSong" w:eastAsia="FangSong" w:cs="FangSong"/>
                <w:sz w:val="30"/>
                <w:szCs w:val="30"/>
                <w:spacing w:val="-19"/>
              </w:rPr>
              <w:t>项目负责人在一定时间内以项目负责人身</w:t>
            </w:r>
            <w:r>
              <w:rPr>
                <w:rFonts w:ascii="FangSong" w:hAnsi="FangSong" w:eastAsia="FangSong" w:cs="FangSong"/>
                <w:sz w:val="30"/>
                <w:szCs w:val="30"/>
                <w:spacing w:val="-22"/>
              </w:rPr>
              <w:t>份获得国家级奖项的（</w:t>
            </w:r>
            <w:r>
              <w:rPr>
                <w:rFonts w:ascii="FangSong" w:hAnsi="FangSong" w:eastAsia="FangSong" w:cs="FangSong"/>
                <w:sz w:val="30"/>
                <w:szCs w:val="30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30"/>
                <w:szCs w:val="30"/>
                <w:spacing w:val="-22"/>
              </w:rPr>
              <w:t>由招标人合理认定</w:t>
            </w:r>
            <w:r>
              <w:rPr>
                <w:rFonts w:ascii="FangSong" w:hAnsi="FangSong" w:eastAsia="FangSong" w:cs="FangSong"/>
                <w:sz w:val="30"/>
                <w:szCs w:val="30"/>
                <w:spacing w:val="-21"/>
              </w:rPr>
              <w:t>时限，奖项仅认可中国建设工程鲁班奖、</w:t>
            </w:r>
          </w:p>
        </w:tc>
        <w:tc>
          <w:tcPr>
            <w:tcW w:w="178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98" w:line="219" w:lineRule="auto"/>
              <w:rPr>
                <w:rFonts w:ascii="FangSong" w:hAnsi="FangSong" w:eastAsia="FangSong" w:cs="FangSong"/>
              </w:rPr>
            </w:pPr>
            <w:r>
              <w:rPr>
                <w:spacing w:val="-2"/>
              </w:rPr>
              <w:t>0-0.25</w:t>
            </w:r>
            <w:r>
              <w:rPr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</w:rPr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1431" w:right="1296" w:bottom="1156" w:left="1296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2" w:lineRule="exact"/>
        <w:rPr/>
      </w:pPr>
      <w:r/>
    </w:p>
    <w:tbl>
      <w:tblPr>
        <w:tblStyle w:val="TableNormal"/>
        <w:tblW w:w="93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5"/>
        <w:gridCol w:w="5279"/>
        <w:gridCol w:w="1784"/>
      </w:tblGrid>
      <w:tr>
        <w:trPr>
          <w:trHeight w:val="2343" w:hRule="atLeast"/>
        </w:trPr>
        <w:tc>
          <w:tcPr>
            <w:tcW w:w="22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79" w:type="dxa"/>
            <w:vAlign w:val="top"/>
          </w:tcPr>
          <w:p>
            <w:pPr>
              <w:pStyle w:val="TableText"/>
              <w:ind w:left="130" w:firstLine="21"/>
              <w:spacing w:before="51" w:line="351" w:lineRule="auto"/>
              <w:rPr>
                <w:rFonts w:ascii="FangSong" w:hAnsi="FangSong" w:eastAsia="FangSong" w:cs="FangSong"/>
              </w:rPr>
            </w:pPr>
            <w:r>
              <w:rPr>
                <w:rFonts w:ascii="FangSong" w:hAnsi="FangSong" w:eastAsia="FangSong" w:cs="FangSong"/>
                <w:spacing w:val="-31"/>
              </w:rPr>
              <w:t>中国土木工程詹天佑奖、国家优质工程奖、</w:t>
            </w:r>
            <w:r>
              <w:rPr>
                <w:rFonts w:ascii="FangSong" w:hAnsi="FangSong" w:eastAsia="FangSong" w:cs="FangSong"/>
                <w:spacing w:val="-17"/>
              </w:rPr>
              <w:t>中国建筑工程装饰奖、中国钢结构金奖、</w:t>
            </w:r>
            <w:r>
              <w:rPr>
                <w:rFonts w:ascii="FangSong" w:hAnsi="FangSong" w:eastAsia="FangSong" w:cs="FangSong"/>
                <w:spacing w:val="-19"/>
              </w:rPr>
              <w:t>中国安装之星、全国优秀工程勘察设计奖</w:t>
            </w:r>
            <w:r>
              <w:rPr>
                <w:rFonts w:ascii="FangSong" w:hAnsi="FangSong" w:eastAsia="FangSong" w:cs="FangSong"/>
                <w:spacing w:val="-1"/>
              </w:rPr>
              <w:t>等</w:t>
            </w:r>
            <w:r>
              <w:rPr>
                <w:spacing w:val="-1"/>
              </w:rPr>
              <w:t>7 </w:t>
            </w:r>
            <w:r>
              <w:rPr>
                <w:rFonts w:ascii="FangSong" w:hAnsi="FangSong" w:eastAsia="FangSong" w:cs="FangSong"/>
                <w:spacing w:val="-1"/>
              </w:rPr>
              <w:t>类</w:t>
            </w:r>
            <w:r>
              <w:rPr>
                <w:rFonts w:ascii="FangSong" w:hAnsi="FangSong" w:eastAsia="FangSong" w:cs="FangSong"/>
                <w:spacing w:val="-78"/>
                <w:w w:val="93"/>
              </w:rPr>
              <w:t>），</w:t>
            </w:r>
            <w:r>
              <w:rPr>
                <w:rFonts w:ascii="FangSong" w:hAnsi="FangSong" w:eastAsia="FangSong" w:cs="FangSong"/>
                <w:spacing w:val="-1"/>
              </w:rPr>
              <w:t>得</w:t>
            </w:r>
            <w:r>
              <w:rPr>
                <w:spacing w:val="-1"/>
              </w:rPr>
              <w:t>0.25 </w:t>
            </w:r>
            <w:r>
              <w:rPr>
                <w:rFonts w:ascii="FangSong" w:hAnsi="FangSong" w:eastAsia="FangSong" w:cs="FangSong"/>
                <w:spacing w:val="-1"/>
              </w:rPr>
              <w:t>分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010"/>
        <w:spacing w:before="255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六、其他要求</w:t>
      </w:r>
    </w:p>
    <w:p>
      <w:pPr>
        <w:pStyle w:val="BodyText"/>
        <w:ind w:left="353" w:right="347" w:firstLine="656"/>
        <w:spacing w:before="283" w:line="368" w:lineRule="auto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1.</w:t>
      </w:r>
      <w:r>
        <w:rPr>
          <w:b/>
          <w:bCs/>
          <w:spacing w:val="10"/>
        </w:rPr>
        <w:t>关于风险控制价。</w:t>
      </w:r>
      <w:r>
        <w:rPr>
          <w:spacing w:val="10"/>
        </w:rPr>
        <w:t>原《浙江省房屋建筑和市政</w:t>
      </w:r>
      <w:r>
        <w:rPr>
          <w:spacing w:val="9"/>
        </w:rPr>
        <w:t>基础设施</w:t>
      </w:r>
      <w:r>
        <w:rPr>
          <w:spacing w:val="3"/>
        </w:rPr>
        <w:t>工程总承包招标文件示范文本（</w:t>
      </w:r>
      <w:r>
        <w:rPr>
          <w:rFonts w:ascii="Times New Roman" w:hAnsi="Times New Roman" w:eastAsia="Times New Roman" w:cs="Times New Roman"/>
          <w:spacing w:val="3"/>
        </w:rPr>
        <w:t>2024 </w:t>
      </w:r>
      <w:r>
        <w:rPr>
          <w:spacing w:val="3"/>
        </w:rPr>
        <w:t>版）》</w:t>
      </w:r>
      <w:r>
        <w:rPr>
          <w:spacing w:val="-81"/>
        </w:rPr>
        <w:t xml:space="preserve"> </w:t>
      </w:r>
      <w:r>
        <w:rPr>
          <w:spacing w:val="3"/>
        </w:rPr>
        <w:t>中投标人须知前附</w:t>
      </w:r>
      <w:r>
        <w:rPr>
          <w:spacing w:val="1"/>
        </w:rPr>
        <w:t>表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3.2.4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1"/>
        </w:rPr>
        <w:t>中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风险控制价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改为：为防止投标人恶意低价竞标，可</w:t>
      </w:r>
      <w:r>
        <w:rPr>
          <w:spacing w:val="-6"/>
        </w:rPr>
        <w:t>设置风险控制价。风险控制价的确定方法：最高投标限价</w:t>
      </w:r>
      <w:r>
        <w:rPr>
          <w:spacing w:val="-7"/>
        </w:rPr>
        <w:t>的（</w:t>
      </w:r>
      <w:r>
        <w:rPr>
          <w:spacing w:val="-55"/>
        </w:rPr>
        <w:t xml:space="preserve"> </w:t>
      </w:r>
      <w:r>
        <w:rPr>
          <w:spacing w:val="-7"/>
        </w:rPr>
        <w:t>由</w:t>
      </w:r>
      <w:r>
        <w:rPr>
          <w:spacing w:val="8"/>
        </w:rPr>
        <w:t>招标人在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80</w:t>
      </w:r>
      <w:r>
        <w:rPr>
          <w:spacing w:val="8"/>
        </w:rPr>
        <w:t>～</w:t>
      </w:r>
      <w:r>
        <w:rPr>
          <w:rFonts w:ascii="Times New Roman" w:hAnsi="Times New Roman" w:eastAsia="Times New Roman" w:cs="Times New Roman"/>
          <w:spacing w:val="8"/>
        </w:rPr>
        <w:t>90%</w:t>
      </w:r>
      <w:r>
        <w:rPr>
          <w:spacing w:val="8"/>
        </w:rPr>
        <w:t>之间选定一个数值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X%</w:t>
      </w:r>
      <w:r>
        <w:rPr>
          <w:spacing w:val="8"/>
        </w:rPr>
        <w:t>，开标时，抽取数值</w:t>
      </w:r>
      <w:r>
        <w:rPr>
          <w:rFonts w:ascii="Times New Roman" w:hAnsi="Times New Roman" w:eastAsia="Times New Roman" w:cs="Times New Roman"/>
          <w:spacing w:val="-1"/>
        </w:rPr>
        <w:t>P%</w:t>
      </w: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P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从</w:t>
      </w:r>
      <w:r>
        <w:rPr>
          <w:rFonts w:ascii="Times New Roman" w:hAnsi="Times New Roman" w:eastAsia="Times New Roman" w:cs="Times New Roman"/>
          <w:spacing w:val="-1"/>
        </w:rPr>
        <w:t>-1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-0.75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-0.5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-0.25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  <w:spacing w:val="-2"/>
        </w:rPr>
        <w:t>.25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0.5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0.75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2"/>
        </w:rPr>
        <w:t>等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7"/>
        </w:rPr>
        <w:t>个数值中随机抽取</w:t>
      </w:r>
      <w:r>
        <w:rPr>
          <w:spacing w:val="-53"/>
        </w:rPr>
        <w:t>），</w:t>
      </w:r>
      <w:r>
        <w:rPr>
          <w:spacing w:val="7"/>
        </w:rPr>
        <w:t>最终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X+P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>%</w:t>
      </w:r>
      <w:r>
        <w:rPr>
          <w:spacing w:val="7"/>
        </w:rPr>
        <w:t>作为风险控制价。</w:t>
      </w:r>
    </w:p>
    <w:p>
      <w:pPr>
        <w:pStyle w:val="BodyText"/>
        <w:ind w:left="387" w:right="348" w:firstLine="608"/>
        <w:spacing w:before="273" w:line="328" w:lineRule="auto"/>
        <w:rPr/>
      </w:pPr>
      <w:r>
        <w:rPr>
          <w:rFonts w:ascii="Times New Roman" w:hAnsi="Times New Roman" w:eastAsia="Times New Roman" w:cs="Times New Roman"/>
          <w:b/>
          <w:bCs/>
          <w:spacing w:val="1"/>
        </w:rPr>
        <w:t>2.</w:t>
      </w:r>
      <w:r>
        <w:rPr>
          <w:b/>
          <w:bCs/>
          <w:spacing w:val="1"/>
        </w:rPr>
        <w:t>关于投标文件页数。</w:t>
      </w:r>
      <w:r>
        <w:rPr>
          <w:spacing w:val="1"/>
        </w:rPr>
        <w:t>技术标文件内容原则上不</w:t>
      </w:r>
      <w:r>
        <w:rPr/>
        <w:t>得超过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150</w:t>
      </w:r>
      <w:r>
        <w:rPr>
          <w:spacing w:val="7"/>
        </w:rPr>
        <w:t>页（技术特别复杂的项目经监管部门同意后可允许不超过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200</w:t>
      </w:r>
      <w:r>
        <w:rPr>
          <w:spacing w:val="1"/>
        </w:rPr>
        <w:t>页）。投标人违反上述要求的，其技术标打分按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0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>分计。</w:t>
      </w:r>
    </w:p>
    <w:p>
      <w:pPr>
        <w:pStyle w:val="BodyText"/>
        <w:ind w:left="362" w:right="350" w:firstLine="630"/>
        <w:spacing w:before="270" w:line="341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3.</w:t>
      </w:r>
      <w:r>
        <w:rPr>
          <w:b/>
          <w:bCs/>
          <w:spacing w:val="4"/>
        </w:rPr>
        <w:t>关于项目管理班子要求。</w:t>
      </w:r>
      <w:r>
        <w:rPr>
          <w:spacing w:val="4"/>
        </w:rPr>
        <w:t>投标人提供的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项目管理班子成</w:t>
      </w:r>
      <w:r>
        <w:rPr>
          <w:spacing w:val="9"/>
        </w:rPr>
        <w:t>员信息表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中的施工企业人员应在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浙江省建筑市场监管公共服</w:t>
      </w:r>
      <w:r>
        <w:rPr>
          <w:spacing w:val="15"/>
        </w:rPr>
        <w:t>务系统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spacing w:val="15"/>
        </w:rPr>
        <w:t>企业入库人员名单录入（包括省内和省外企业</w:t>
      </w:r>
      <w:r>
        <w:rPr>
          <w:spacing w:val="14"/>
        </w:rPr>
        <w:t>，投标</w:t>
      </w:r>
      <w:r>
        <w:rPr>
          <w:spacing w:val="-4"/>
        </w:rPr>
        <w:t>人提供系统截图页面）。</w:t>
      </w:r>
    </w:p>
    <w:sectPr>
      <w:footerReference w:type="default" r:id="rId46"/>
      <w:pgSz w:w="11906" w:h="16839"/>
      <w:pgMar w:top="1431" w:right="1296" w:bottom="1156" w:left="1296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5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6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2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7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7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6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7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0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1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9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40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41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42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43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8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44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68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3"/>
      </w:rPr>
      <w:t>45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3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4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3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9" Type="http://schemas.openxmlformats.org/officeDocument/2006/relationships/fontTable" Target="fontTable.xml"/><Relationship Id="rId48" Type="http://schemas.openxmlformats.org/officeDocument/2006/relationships/styles" Target="styles.xml"/><Relationship Id="rId47" Type="http://schemas.openxmlformats.org/officeDocument/2006/relationships/settings" Target="settings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3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2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hyperlink" Target="https://ztb.zj.gov.cn/open-bid" TargetMode="Externa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dcterms:created xsi:type="dcterms:W3CDTF">2025-12-11T16:13:17Z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2025-12-22T16:53:51</vt:filetime>
  </property>
</Properties>
</file>